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pStyle w:val="Heading1"/>
        <w:spacing w:before="120" w:after="120"/>
        <w:jc w:val="center"/>
      </w:pPr>
      <w:r>
        <w:rPr>
          <w:rFonts w:ascii="Arial" w:cs="Arial" w:eastAsia="Arial" w:hAnsi="Arial"/>
          <w:sz w:val="44"/>
          <w:szCs w:val="44"/>
        </w:rPr>
        <w:t xml:space="preserve">RECOMMENDATION</w:t>
      </w:r>
    </w:p>
    <w:p>
      <w:pPr>
        <w:spacing w:before="200" w:after="200"/>
        <w:jc w:val="center"/>
      </w:pPr>
      <w:r>
        <w:rPr>
          <w:rFonts w:ascii="Arial" w:cs="Arial" w:eastAsia="Arial" w:hAnsi="Arial"/>
          <w:b/>
          <w:bCs/>
          <w:color w:val="1B3A5C"/>
          <w:sz w:val="36"/>
          <w:szCs w:val="36"/>
        </w:rPr>
        <w:t xml:space="preserve">Tiered BI Serving Strategy for Direct Lake Security</w:t>
      </w:r>
    </w:p>
    <w:p>
      <w:pPr>
        <w:spacing w:before="400" w:after="100"/>
        <w:jc w:val="center"/>
      </w:pPr>
      <w:r>
        <w:rPr>
          <w:rFonts w:ascii="Arial" w:cs="Arial" w:eastAsia="Arial" w:hAnsi="Arial"/>
          <w:color w:val="666666"/>
          <w:sz w:val="24"/>
          <w:szCs w:val="24"/>
        </w:rPr>
        <w:t xml:space="preserve">Modern Data Platform — Databricks-Primary Architecture v8.0</w:t>
      </w:r>
    </w:p>
    <w:p>
      <w:pPr>
        <w:spacing w:before="100" w:after="100"/>
        <w:jc w:val="center"/>
      </w:pPr>
      <w:r>
        <w:rPr>
          <w:rFonts w:ascii="Arial" w:cs="Arial" w:eastAsia="Arial" w:hAnsi="Arial"/>
          <w:color w:val="666666"/>
          <w:sz w:val="24"/>
          <w:szCs w:val="24"/>
        </w:rPr>
        <w:t xml:space="preserve">March 2026 — Version 1.0</w:t>
      </w:r>
    </w:p>
    <w:p>
      <w:pPr>
        <w:spacing w:before="100" w:after="100"/>
        <w:jc w:val="center"/>
      </w:pPr>
      <w:r>
        <w:rPr>
          <w:rFonts w:ascii="Arial" w:cs="Arial" w:eastAsia="Arial" w:hAnsi="Arial"/>
          <w:b/>
          <w:bCs/>
          <w:color w:val="CC0000"/>
          <w:sz w:val="22"/>
          <w:szCs w:val="22"/>
        </w:rPr>
        <w:t xml:space="preserve">CONFIDENTIAL</w:t>
      </w:r>
    </w:p>
    <w:p>
      <w:r>
        <w:br w:type="page"/>
      </w:r>
    </w:p>
    <w:p>
      <w:pPr>
        <w:pStyle w:val="Heading1"/>
        <w:spacing w:before="120" w:after="120"/>
      </w:pPr>
      <w:r>
        <w:rPr>
          <w:rFonts w:ascii="Arial" w:cs="Arial" w:eastAsia="Arial" w:hAnsi="Arial"/>
          <w:sz w:val="24"/>
          <w:szCs w:val="24"/>
        </w:rPr>
        <w:t xml:space="preserve">1. Executive Summary</w:t>
      </w:r>
    </w:p>
    <w:p>
      <w:pPr>
        <w:spacing w:before="120" w:after="120"/>
      </w:pPr>
      <w:r>
        <w:rPr>
          <w:rFonts w:ascii="Arial" w:cs="Arial" w:eastAsia="Arial" w:hAnsi="Arial"/>
          <w:sz w:val="24"/>
          <w:szCs w:val="24"/>
        </w:rPr>
        <w:t xml:space="preserve">The Databricks-primary architecture (v8.0) positions Power BI as the exclusive BI serving layer, with </w:t>
      </w:r>
      <w:r>
        <w:rPr>
          <w:rFonts w:ascii="Arial" w:cs="Arial" w:eastAsia="Arial" w:hAnsi="Arial"/>
          <w:b/>
          <w:bCs/>
          <w:sz w:val="24"/>
          <w:szCs w:val="24"/>
        </w:rPr>
        <w:t xml:space="preserve">Direct Lake</w:t>
      </w:r>
      <w:r>
        <w:rPr>
          <w:rFonts w:ascii="Arial" w:cs="Arial" w:eastAsia="Arial" w:hAnsi="Arial"/>
          <w:sz w:val="24"/>
          <w:szCs w:val="24"/>
        </w:rPr>
        <w:t xml:space="preserve"> as the preferred connectivity mode for Gold-layer datasets. While Direct Lake delivers import-like performance with near-real-time freshness and zero Databricks compute cost at query time, it introduces a </w:t>
      </w:r>
      <w:r>
        <w:rPr>
          <w:rFonts w:ascii="Arial" w:cs="Arial" w:eastAsia="Arial" w:hAnsi="Arial"/>
          <w:b/>
          <w:bCs/>
          <w:sz w:val="24"/>
          <w:szCs w:val="24"/>
        </w:rPr>
        <w:t xml:space="preserve">structural security gap</w:t>
      </w:r>
      <w:r>
        <w:rPr>
          <w:rFonts w:ascii="Arial" w:cs="Arial" w:eastAsia="Arial" w:hAnsi="Arial"/>
          <w:sz w:val="24"/>
          <w:szCs w:val="24"/>
        </w:rPr>
        <w:t xml:space="preserve">: Unity Catalog’s Attribute-Based Access Control (ABAC) policies—including row filters, column masks, and dynamic data masking—are </w:t>
      </w:r>
      <w:r>
        <w:rPr>
          <w:rFonts w:ascii="Arial" w:cs="Arial" w:eastAsia="Arial" w:hAnsi="Arial"/>
          <w:b/>
          <w:bCs/>
          <w:sz w:val="24"/>
          <w:szCs w:val="24"/>
        </w:rPr>
        <w:t xml:space="preserve">not evaluated</w:t>
      </w:r>
      <w:r>
        <w:rPr>
          <w:rFonts w:ascii="Arial" w:cs="Arial" w:eastAsia="Arial" w:hAnsi="Arial"/>
          <w:sz w:val="24"/>
          <w:szCs w:val="24"/>
        </w:rPr>
        <w:t xml:space="preserve"> when Power BI reads Delta files directly from storage.</w:t>
      </w:r>
    </w:p>
    <w:p>
      <w:pPr>
        <w:spacing w:before="120" w:after="120"/>
      </w:pPr>
      <w:r>
        <w:rPr>
          <w:rFonts w:ascii="Arial" w:cs="Arial" w:eastAsia="Arial" w:hAnsi="Arial"/>
          <w:sz w:val="24"/>
          <w:szCs w:val="24"/>
        </w:rPr>
        <w:t xml:space="preserve">This document formalizes a tiered serving strategy that selects the appropriate Power BI connectivity mode based on dataset sensitivity classification, ensuring regulatory compliance under AMF, OSFI, Law 25, and PIPEDA while preserving the performance benefits of Direct Lake where security requirements permit.</w:t>
      </w:r>
    </w:p>
    <w:p>
      <w:pPr>
        <w:pStyle w:val="Heading1"/>
        <w:spacing w:before="120" w:after="120"/>
      </w:pPr>
      <w:r>
        <w:rPr>
          <w:rFonts w:ascii="Arial" w:cs="Arial" w:eastAsia="Arial" w:hAnsi="Arial"/>
          <w:sz w:val="24"/>
          <w:szCs w:val="24"/>
        </w:rPr>
        <w:t xml:space="preserve">2. Problem Statement</w:t>
      </w:r>
    </w:p>
    <w:p>
      <w:pPr>
        <w:pStyle w:val="Heading2"/>
        <w:spacing w:before="120" w:after="120"/>
      </w:pPr>
      <w:r>
        <w:rPr>
          <w:rFonts w:ascii="Arial" w:cs="Arial" w:eastAsia="Arial" w:hAnsi="Arial"/>
          <w:sz w:val="24"/>
          <w:szCs w:val="24"/>
        </w:rPr>
        <w:t xml:space="preserve">2.1 How Direct Lake Works</w:t>
      </w:r>
    </w:p>
    <w:p>
      <w:pPr>
        <w:spacing w:before="120" w:after="120"/>
      </w:pPr>
      <w:r>
        <w:rPr>
          <w:rFonts w:ascii="Arial" w:cs="Arial" w:eastAsia="Arial" w:hAnsi="Arial"/>
          <w:sz w:val="24"/>
          <w:szCs w:val="24"/>
        </w:rPr>
        <w:t xml:space="preserve">In Direct Lake mode, Power BI reads Delta/Parquet files directly from ADLS Gen2 (or via OneLake shortcuts) into the VertiPaq in-memory engine. No Databricks compute engine participates in the read path. The files are accessed using a storage service principal with broad read permissions on Gold-layer containers.</w:t>
      </w:r>
    </w:p>
    <w:p>
      <w:pPr>
        <w:pStyle w:val="Heading2"/>
        <w:spacing w:before="120" w:after="120"/>
      </w:pPr>
      <w:r>
        <w:rPr>
          <w:rFonts w:ascii="Arial" w:cs="Arial" w:eastAsia="Arial" w:hAnsi="Arial"/>
          <w:sz w:val="24"/>
          <w:szCs w:val="24"/>
        </w:rPr>
        <w:t xml:space="preserve">2.2 Where Unity Catalog Enforces ABAC</w:t>
      </w:r>
    </w:p>
    <w:p>
      <w:pPr>
        <w:spacing w:before="120" w:after="120"/>
      </w:pPr>
      <w:r>
        <w:rPr>
          <w:rFonts w:ascii="Arial" w:cs="Arial" w:eastAsia="Arial" w:hAnsi="Arial"/>
          <w:sz w:val="24"/>
          <w:szCs w:val="24"/>
        </w:rPr>
        <w:t xml:space="preserve">Unity Catalog’s fine-grained access controls operate at the compute layer. When a query is submitted through a Databricks SQL Warehouse or Spark cluster, the engine evaluates row filter functions, column mask functions, and dynamic data masking rules before returning results. These policies are defined in SQL and managed centrally in Unity Catalog.</w:t>
      </w:r>
    </w:p>
    <w:p>
      <w:pPr>
        <w:pStyle w:val="Heading2"/>
        <w:spacing w:before="120" w:after="120"/>
      </w:pPr>
      <w:r>
        <w:rPr>
          <w:rFonts w:ascii="Arial" w:cs="Arial" w:eastAsia="Arial" w:hAnsi="Arial"/>
          <w:sz w:val="24"/>
          <w:szCs w:val="24"/>
        </w:rPr>
        <w:t xml:space="preserve">2.3 The Gap</w:t>
      </w:r>
    </w:p>
    <w:p>
      <w:pPr>
        <w:spacing w:before="120" w:after="120"/>
      </w:pPr>
      <w:r>
        <w:rPr>
          <w:rFonts w:ascii="Arial" w:cs="Arial" w:eastAsia="Arial" w:hAnsi="Arial"/>
          <w:sz w:val="24"/>
          <w:szCs w:val="24"/>
        </w:rPr>
        <w:t xml:space="preserve">Because Direct Lake bypasses Databricks compute entirely, Unity Catalog policies are </w:t>
      </w:r>
      <w:r>
        <w:rPr>
          <w:rFonts w:ascii="Arial" w:cs="Arial" w:eastAsia="Arial" w:hAnsi="Arial"/>
          <w:b/>
          <w:bCs/>
          <w:i/>
          <w:iCs/>
          <w:sz w:val="24"/>
          <w:szCs w:val="24"/>
        </w:rPr>
        <w:t xml:space="preserve">never invoked</w:t>
      </w:r>
      <w:r>
        <w:rPr>
          <w:rFonts w:ascii="Arial" w:cs="Arial" w:eastAsia="Arial" w:hAnsi="Arial"/>
          <w:sz w:val="24"/>
          <w:szCs w:val="24"/>
        </w:rPr>
        <w:t xml:space="preserve">. The Power BI service principal reads the raw, unfiltered, unmasked data from storage. This creates three specific risks: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680"/>
        <w:gridCol w:w="3680"/>
      </w:tblGrid>
      <w:tr>
        <w:tc>
          <w:tcPr>
            <w:tcW w:type="dxa" w:w="2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2"/>
                <w:szCs w:val="22"/>
              </w:rPr>
              <w:t xml:space="preserve">Risk</w:t>
            </w:r>
          </w:p>
        </w:tc>
        <w:tc>
          <w:tcPr>
            <w:tcW w:type="dxa" w:w="36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2"/>
                <w:szCs w:val="22"/>
              </w:rPr>
              <w:t xml:space="preserve">Description</w:t>
            </w:r>
          </w:p>
        </w:tc>
        <w:tc>
          <w:tcPr>
            <w:tcW w:type="dxa" w:w="36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2"/>
                <w:szCs w:val="22"/>
              </w:rPr>
              <w:t xml:space="preserve">Regulatory Impact</w:t>
            </w:r>
          </w:p>
        </w:tc>
      </w:tr>
      <w:tr>
        <w:tc>
          <w:tcPr>
            <w:tcW w:type="dxa" w:w="2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b/>
                <w:bCs/>
                <w:sz w:val="22"/>
                <w:szCs w:val="22"/>
              </w:rPr>
              <w:t xml:space="preserve">Policy Drift</w:t>
            </w:r>
          </w:p>
        </w:tc>
        <w:tc>
          <w:tcPr>
            <w:tcW w:type="dxa" w:w="3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UC row filters (SQL) and Power BI RLS (DAX) are maintained by different teams in different languages. Changes to one are not automatically reflected in the other.</w:t>
            </w:r>
          </w:p>
        </w:tc>
        <w:tc>
          <w:tcPr>
            <w:tcW w:type="dxa" w:w="3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Non-compliance with data access audits under OSFI E-21 and Law 25 if filtering intent diverges.</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b/>
                <w:bCs/>
                <w:sz w:val="22"/>
                <w:szCs w:val="22"/>
              </w:rPr>
              <w:t xml:space="preserve">Column Masking Gap</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Power BI has no native column-masking mechanism equivalent to UC column masks. Direct Lake exposes full column values (e.g., unmasked SIN, account numbers).</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Direct violation of Law 25 data minimization requirements and PIPEDA’s purpose limitation principle.</w:t>
            </w:r>
          </w:p>
        </w:tc>
      </w:tr>
      <w:tr>
        <w:tc>
          <w:tcPr>
            <w:tcW w:type="dxa" w:w="200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b/>
                <w:bCs/>
                <w:sz w:val="22"/>
                <w:szCs w:val="22"/>
              </w:rPr>
              <w:t xml:space="preserve">Service Principal Over-Privilege</w:t>
            </w:r>
          </w:p>
        </w:tc>
        <w:tc>
          <w:tcPr>
            <w:tcW w:type="dxa" w:w="3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The Power BI service principal requires broad read access to Gold-layer storage paths. A credential compromise exposes all accessible data without UC mediation.</w:t>
            </w:r>
          </w:p>
        </w:tc>
        <w:tc>
          <w:tcPr>
            <w:tcW w:type="dxa" w:w="368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Violates OSFI B-13 technology risk management guidelines on least-privilege access.</w:t>
            </w:r>
          </w:p>
        </w:tc>
      </w:tr>
    </w:tbl>
    <w:p>
      <w:r>
        <w:br w:type="page"/>
      </w:r>
    </w:p>
    <w:p>
      <w:pPr>
        <w:pStyle w:val="Heading1"/>
        <w:spacing w:before="120" w:after="120"/>
      </w:pPr>
      <w:r>
        <w:rPr>
          <w:rFonts w:ascii="Arial" w:cs="Arial" w:eastAsia="Arial" w:hAnsi="Arial"/>
          <w:sz w:val="24"/>
          <w:szCs w:val="24"/>
        </w:rPr>
        <w:t xml:space="preserve">3. Tiered Serving Strategy</w:t>
      </w:r>
    </w:p>
    <w:p>
      <w:pPr>
        <w:spacing w:before="120" w:after="120"/>
      </w:pPr>
      <w:r>
        <w:rPr>
          <w:rFonts w:ascii="Arial" w:cs="Arial" w:eastAsia="Arial" w:hAnsi="Arial"/>
          <w:sz w:val="24"/>
          <w:szCs w:val="24"/>
        </w:rPr>
        <w:t xml:space="preserve">The recommended approach assigns Power BI connectivity mode based on Greenfield’s existing four-tier data classification framework. This ensures the security posture of the BI serving layer is proportional to data sensitivity, while maximizing Direct Lake’s performance benefit for lower-sensitivity datasets.</w:t>
      </w:r>
    </w:p>
    <w:p>
      <w:pPr>
        <w:pStyle w:val="Heading2"/>
        <w:spacing w:before="120" w:after="120"/>
      </w:pPr>
      <w:r>
        <w:rPr>
          <w:rFonts w:ascii="Arial" w:cs="Arial" w:eastAsia="Arial" w:hAnsi="Arial"/>
          <w:sz w:val="24"/>
          <w:szCs w:val="24"/>
        </w:rPr>
        <w:t xml:space="preserve">3.1 Decision Matrix</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800"/>
        <w:gridCol w:w="2200"/>
        <w:gridCol w:w="1900"/>
        <w:gridCol w:w="1860"/>
      </w:tblGrid>
      <w:tr>
        <w:tc>
          <w:tcPr>
            <w:tcW w:type="dxa" w:w="16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2"/>
                <w:szCs w:val="22"/>
              </w:rPr>
              <w:t xml:space="preserve">Classification</w:t>
            </w:r>
          </w:p>
        </w:tc>
        <w:tc>
          <w:tcPr>
            <w:tcW w:type="dxa" w:w="18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2"/>
                <w:szCs w:val="22"/>
              </w:rPr>
              <w:t xml:space="preserve">Serving Mode</w:t>
            </w:r>
          </w:p>
        </w:tc>
        <w:tc>
          <w:tcPr>
            <w:tcW w:type="dxa" w:w="22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2"/>
                <w:szCs w:val="22"/>
              </w:rPr>
              <w:t xml:space="preserve">Security Enforcement</w:t>
            </w:r>
          </w:p>
        </w:tc>
        <w:tc>
          <w:tcPr>
            <w:tcW w:type="dxa" w:w="19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2"/>
                <w:szCs w:val="22"/>
              </w:rPr>
              <w:t xml:space="preserve">UC ABAC Active?</w:t>
            </w:r>
          </w:p>
        </w:tc>
        <w:tc>
          <w:tcPr>
            <w:tcW w:type="dxa" w:w="18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2"/>
                <w:szCs w:val="22"/>
              </w:rPr>
              <w:t xml:space="preserve">Examples</w:t>
            </w:r>
          </w:p>
        </w:tc>
      </w:tr>
      <w:tr>
        <w:tc>
          <w:tcPr>
            <w:tcW w:type="dxa" w:w="16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vAlign w:val="center"/>
          </w:tcPr>
          <w:p>
            <w:pPr>
              <w:spacing w:before="40" w:after="40"/>
            </w:pPr>
            <w:r>
              <w:rPr>
                <w:rFonts w:ascii="Arial" w:cs="Arial" w:eastAsia="Arial" w:hAnsi="Arial"/>
                <w:b/>
                <w:bCs/>
                <w:sz w:val="22"/>
                <w:szCs w:val="22"/>
              </w:rPr>
              <w:t xml:space="preserve">Public</w:t>
            </w:r>
          </w:p>
        </w:tc>
        <w:tc>
          <w:tcPr>
            <w:tcW w:type="dxa" w:w="1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Direct Lake</w:t>
            </w:r>
          </w:p>
        </w:tc>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Power BI workspace security only</w:t>
            </w:r>
          </w:p>
        </w:tc>
        <w:tc>
          <w:tcPr>
            <w:tcW w:type="dxa" w:w="19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No (acceptable)</w:t>
            </w:r>
          </w:p>
        </w:tc>
        <w:tc>
          <w:tcPr>
            <w:tcW w:type="dxa" w:w="18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Published rates, branch locations, product catalogues</w:t>
            </w:r>
          </w:p>
        </w:tc>
      </w:tr>
      <w:tr>
        <w:tc>
          <w:tcPr>
            <w:tcW w:type="dxa" w:w="1600"/>
            <w:tcBorders>
              <w:top w:val="single" w:color="CCCCCC" w:sz="1"/>
              <w:left w:val="single" w:color="CCCCCC" w:sz="1"/>
              <w:bottom w:val="single" w:color="CCCCCC" w:sz="1"/>
              <w:right w:val="single" w:color="CCCCCC" w:sz="1"/>
            </w:tcBorders>
            <w:shd w:fill="E3F2FD" w:val="clear"/>
            <w:tcMar>
              <w:top w:type="dxa" w:w="80"/>
              <w:left w:type="dxa" w:w="120"/>
              <w:bottom w:type="dxa" w:w="80"/>
              <w:right w:type="dxa" w:w="120"/>
            </w:tcMar>
            <w:vAlign w:val="center"/>
          </w:tcPr>
          <w:p>
            <w:pPr>
              <w:spacing w:before="40" w:after="40"/>
            </w:pPr>
            <w:r>
              <w:rPr>
                <w:rFonts w:ascii="Arial" w:cs="Arial" w:eastAsia="Arial" w:hAnsi="Arial"/>
                <w:b/>
                <w:bCs/>
                <w:sz w:val="22"/>
                <w:szCs w:val="22"/>
              </w:rPr>
              <w:t xml:space="preserve">Internal</w:t>
            </w:r>
          </w:p>
        </w:tc>
        <w:tc>
          <w:tcPr>
            <w:tcW w:type="dxa" w:w="1800"/>
            <w:tcBorders>
              <w:top w:val="single" w:color="CCCCCC" w:sz="1"/>
              <w:left w:val="single" w:color="CCCCCC" w:sz="1"/>
              <w:bottom w:val="single" w:color="CCCCCC" w:sz="1"/>
              <w:right w:val="single" w:color="CCCCCC" w:sz="1"/>
            </w:tcBorders>
            <w:shd w:fill="E3F2FD"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Direct Lake + Power BI RLS</w:t>
            </w:r>
          </w:p>
        </w:tc>
        <w:tc>
          <w:tcPr>
            <w:tcW w:type="dxa" w:w="2200"/>
            <w:tcBorders>
              <w:top w:val="single" w:color="CCCCCC" w:sz="1"/>
              <w:left w:val="single" w:color="CCCCCC" w:sz="1"/>
              <w:bottom w:val="single" w:color="CCCCCC" w:sz="1"/>
              <w:right w:val="single" w:color="CCCCCC" w:sz="1"/>
            </w:tcBorders>
            <w:shd w:fill="E3F2FD"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Power BI RLS (DAX row filters). RLS rules must mirror UC intent.</w:t>
            </w:r>
          </w:p>
        </w:tc>
        <w:tc>
          <w:tcPr>
            <w:tcW w:type="dxa" w:w="1900"/>
            <w:tcBorders>
              <w:top w:val="single" w:color="CCCCCC" w:sz="1"/>
              <w:left w:val="single" w:color="CCCCCC" w:sz="1"/>
              <w:bottom w:val="single" w:color="CCCCCC" w:sz="1"/>
              <w:right w:val="single" w:color="CCCCCC" w:sz="1"/>
            </w:tcBorders>
            <w:shd w:fill="E3F2FD"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No (mitigated by RLS)</w:t>
            </w:r>
          </w:p>
        </w:tc>
        <w:tc>
          <w:tcPr>
            <w:tcW w:type="dxa" w:w="1860"/>
            <w:tcBorders>
              <w:top w:val="single" w:color="CCCCCC" w:sz="1"/>
              <w:left w:val="single" w:color="CCCCCC" w:sz="1"/>
              <w:bottom w:val="single" w:color="CCCCCC" w:sz="1"/>
              <w:right w:val="single" w:color="CCCCCC" w:sz="1"/>
            </w:tcBorders>
            <w:shd w:fill="E3F2FD"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Aggregated KPIs, operational dashboards, workforce metrics</w:t>
            </w:r>
          </w:p>
        </w:tc>
      </w:tr>
      <w:tr>
        <w:tc>
          <w:tcPr>
            <w:tcW w:type="dxa" w:w="1600"/>
            <w:tcBorders>
              <w:top w:val="single" w:color="CCCCCC" w:sz="1"/>
              <w:left w:val="single" w:color="CCCCCC" w:sz="1"/>
              <w:bottom w:val="single" w:color="CCCCCC" w:sz="1"/>
              <w:right w:val="single" w:color="CCCCCC" w:sz="1"/>
            </w:tcBorders>
            <w:shd w:fill="FFF3E0" w:val="clear"/>
            <w:tcMar>
              <w:top w:type="dxa" w:w="80"/>
              <w:left w:type="dxa" w:w="120"/>
              <w:bottom w:type="dxa" w:w="80"/>
              <w:right w:type="dxa" w:w="120"/>
            </w:tcMar>
            <w:vAlign w:val="center"/>
          </w:tcPr>
          <w:p>
            <w:pPr>
              <w:spacing w:before="40" w:after="40"/>
            </w:pPr>
            <w:r>
              <w:rPr>
                <w:rFonts w:ascii="Arial" w:cs="Arial" w:eastAsia="Arial" w:hAnsi="Arial"/>
                <w:b/>
                <w:bCs/>
                <w:sz w:val="22"/>
                <w:szCs w:val="22"/>
              </w:rPr>
              <w:t xml:space="preserve">Confidential</w:t>
            </w:r>
          </w:p>
        </w:tc>
        <w:tc>
          <w:tcPr>
            <w:tcW w:type="dxa" w:w="1800"/>
            <w:tcBorders>
              <w:top w:val="single" w:color="CCCCCC" w:sz="1"/>
              <w:left w:val="single" w:color="CCCCCC" w:sz="1"/>
              <w:bottom w:val="single" w:color="CCCCCC" w:sz="1"/>
              <w:right w:val="single" w:color="CCCCCC" w:sz="1"/>
            </w:tcBorders>
            <w:shd w:fill="FFF3E0"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DirectQuery via SQL Warehouse</w:t>
            </w:r>
          </w:p>
        </w:tc>
        <w:tc>
          <w:tcPr>
            <w:tcW w:type="dxa" w:w="2200"/>
            <w:tcBorders>
              <w:top w:val="single" w:color="CCCCCC" w:sz="1"/>
              <w:left w:val="single" w:color="CCCCCC" w:sz="1"/>
              <w:bottom w:val="single" w:color="CCCCCC" w:sz="1"/>
              <w:right w:val="single" w:color="CCCCCC" w:sz="1"/>
            </w:tcBorders>
            <w:shd w:fill="FFF3E0"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UC ABAC enforced at query time (row filters + column masks).</w:t>
            </w:r>
          </w:p>
          <w:p>
            <w:pPr>
              <w:spacing w:before="40" w:after="40"/>
            </w:pPr>
            <w:r>
              <w:rPr>
                <w:rFonts w:ascii="Arial" w:cs="Arial" w:eastAsia="Arial" w:hAnsi="Arial"/>
                <w:sz w:val="22"/>
                <w:szCs w:val="22"/>
              </w:rPr>
              <w:t xml:space="preserve">Power BI RLS as secondary layer.</w:t>
            </w:r>
          </w:p>
        </w:tc>
        <w:tc>
          <w:tcPr>
            <w:tcW w:type="dxa" w:w="1900"/>
            <w:tcBorders>
              <w:top w:val="single" w:color="CCCCCC" w:sz="1"/>
              <w:left w:val="single" w:color="CCCCCC" w:sz="1"/>
              <w:bottom w:val="single" w:color="CCCCCC" w:sz="1"/>
              <w:right w:val="single" w:color="CCCCCC" w:sz="1"/>
            </w:tcBorders>
            <w:shd w:fill="FFF3E0"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Yes (mandatory)</w:t>
            </w:r>
          </w:p>
        </w:tc>
        <w:tc>
          <w:tcPr>
            <w:tcW w:type="dxa" w:w="1860"/>
            <w:tcBorders>
              <w:top w:val="single" w:color="CCCCCC" w:sz="1"/>
              <w:left w:val="single" w:color="CCCCCC" w:sz="1"/>
              <w:bottom w:val="single" w:color="CCCCCC" w:sz="1"/>
              <w:right w:val="single" w:color="CCCCCC" w:sz="1"/>
            </w:tcBorders>
            <w:shd w:fill="FFF3E0"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Customer segmentation, claims data, credit scoring inputs</w:t>
            </w:r>
          </w:p>
        </w:tc>
      </w:tr>
      <w:tr>
        <w:tc>
          <w:tcPr>
            <w:tcW w:type="dxa" w:w="1600"/>
            <w:tcBorders>
              <w:top w:val="single" w:color="CCCCCC" w:sz="1"/>
              <w:left w:val="single" w:color="CCCCCC" w:sz="1"/>
              <w:bottom w:val="single" w:color="CCCCCC" w:sz="1"/>
              <w:right w:val="single" w:color="CCCCCC" w:sz="1"/>
            </w:tcBorders>
            <w:shd w:fill="FFEBEE" w:val="clear"/>
            <w:tcMar>
              <w:top w:type="dxa" w:w="80"/>
              <w:left w:type="dxa" w:w="120"/>
              <w:bottom w:type="dxa" w:w="80"/>
              <w:right w:type="dxa" w:w="120"/>
            </w:tcMar>
            <w:vAlign w:val="center"/>
          </w:tcPr>
          <w:p>
            <w:pPr>
              <w:spacing w:before="40" w:after="40"/>
            </w:pPr>
            <w:r>
              <w:rPr>
                <w:rFonts w:ascii="Arial" w:cs="Arial" w:eastAsia="Arial" w:hAnsi="Arial"/>
                <w:b/>
                <w:bCs/>
                <w:sz w:val="22"/>
                <w:szCs w:val="22"/>
              </w:rPr>
              <w:t xml:space="preserve">Restricted</w:t>
            </w:r>
          </w:p>
        </w:tc>
        <w:tc>
          <w:tcPr>
            <w:tcW w:type="dxa" w:w="1800"/>
            <w:tcBorders>
              <w:top w:val="single" w:color="CCCCCC" w:sz="1"/>
              <w:left w:val="single" w:color="CCCCCC" w:sz="1"/>
              <w:bottom w:val="single" w:color="CCCCCC" w:sz="1"/>
              <w:right w:val="single" w:color="CCCCCC" w:sz="1"/>
            </w:tcBorders>
            <w:shd w:fill="FFEBEE"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DirectQuery via SQL Warehouse</w:t>
            </w:r>
          </w:p>
        </w:tc>
        <w:tc>
          <w:tcPr>
            <w:tcW w:type="dxa" w:w="2200"/>
            <w:tcBorders>
              <w:top w:val="single" w:color="CCCCCC" w:sz="1"/>
              <w:left w:val="single" w:color="CCCCCC" w:sz="1"/>
              <w:bottom w:val="single" w:color="CCCCCC" w:sz="1"/>
              <w:right w:val="single" w:color="CCCCCC" w:sz="1"/>
            </w:tcBorders>
            <w:shd w:fill="FFEBEE"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UC ABAC mandatory (row filters + column masks + DDM).</w:t>
            </w:r>
          </w:p>
          <w:p>
            <w:pPr>
              <w:spacing w:before="40" w:after="40"/>
            </w:pPr>
            <w:r>
              <w:rPr>
                <w:rFonts w:ascii="Arial" w:cs="Arial" w:eastAsia="Arial" w:hAnsi="Arial"/>
                <w:sz w:val="22"/>
                <w:szCs w:val="22"/>
              </w:rPr>
              <w:t xml:space="preserve">Power BI RLS mandatory.</w:t>
            </w:r>
          </w:p>
          <w:p>
            <w:pPr>
              <w:spacing w:before="40" w:after="40"/>
            </w:pPr>
            <w:r>
              <w:rPr>
                <w:rFonts w:ascii="Arial" w:cs="Arial" w:eastAsia="Arial" w:hAnsi="Arial"/>
                <w:sz w:val="22"/>
                <w:szCs w:val="22"/>
              </w:rPr>
              <w:t xml:space="preserve">Pre-materialized masked Gold views preferred.</w:t>
            </w:r>
          </w:p>
        </w:tc>
        <w:tc>
          <w:tcPr>
            <w:tcW w:type="dxa" w:w="1900"/>
            <w:tcBorders>
              <w:top w:val="single" w:color="CCCCCC" w:sz="1"/>
              <w:left w:val="single" w:color="CCCCCC" w:sz="1"/>
              <w:bottom w:val="single" w:color="CCCCCC" w:sz="1"/>
              <w:right w:val="single" w:color="CCCCCC" w:sz="1"/>
            </w:tcBorders>
            <w:shd w:fill="FFEBEE"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Yes (mandatory + audited)</w:t>
            </w:r>
          </w:p>
        </w:tc>
        <w:tc>
          <w:tcPr>
            <w:tcW w:type="dxa" w:w="1860"/>
            <w:tcBorders>
              <w:top w:val="single" w:color="CCCCCC" w:sz="1"/>
              <w:left w:val="single" w:color="CCCCCC" w:sz="1"/>
              <w:bottom w:val="single" w:color="CCCCCC" w:sz="1"/>
              <w:right w:val="single" w:color="CCCCCC" w:sz="1"/>
            </w:tcBorders>
            <w:shd w:fill="FFEBEE"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PII (SIN, health data), account numbers, KYC records, actuarial micro-data</w:t>
            </w:r>
          </w:p>
        </w:tc>
      </w:tr>
    </w:tbl>
    <w:p>
      <w:pPr>
        <w:pStyle w:val="Heading2"/>
        <w:spacing w:before="120" w:after="120"/>
      </w:pPr>
      <w:r>
        <w:rPr>
          <w:rFonts w:ascii="Arial" w:cs="Arial" w:eastAsia="Arial" w:hAnsi="Arial"/>
          <w:sz w:val="24"/>
          <w:szCs w:val="24"/>
        </w:rPr>
        <w:t xml:space="preserve">3.2 Serving Path Decision Flow</w:t>
      </w:r>
    </w:p>
    <w:p>
      <w:pPr>
        <w:spacing w:before="120" w:after="120"/>
      </w:pPr>
      <w:r>
        <w:rPr>
          <w:rFonts w:ascii="Arial" w:cs="Arial" w:eastAsia="Arial" w:hAnsi="Arial"/>
          <w:sz w:val="24"/>
          <w:szCs w:val="24"/>
        </w:rPr>
        <w:t xml:space="preserve">The following decision logic should be applied when configuring a new Power BI semantic model against a Gold-layer dataset:</w:t>
      </w:r>
    </w:p>
    <w:p>
      <w:pPr>
        <w:pStyle w:val="ListParagraph"/>
        <w:numPr>
          <w:ilvl w:val="0"/>
          <w:numId w:val="2"/>
        </w:numPr>
      </w:pPr>
      <w:r>
        <w:rPr>
          <w:rFonts w:ascii="Arial" w:cs="Arial" w:eastAsia="Arial" w:hAnsi="Arial"/>
          <w:sz w:val="24"/>
          <w:szCs w:val="24"/>
        </w:rPr>
        <w:t xml:space="preserve">Identify the dataset’s classification tag in Unity Catalog (TBLPROPERTIES or Purview label).</w:t>
      </w:r>
    </w:p>
    <w:p>
      <w:pPr>
        <w:pStyle w:val="ListParagraph"/>
        <w:numPr>
          <w:ilvl w:val="0"/>
          <w:numId w:val="2"/>
        </w:numPr>
      </w:pPr>
      <w:r>
        <w:rPr>
          <w:rFonts w:ascii="Arial" w:cs="Arial" w:eastAsia="Arial" w:hAnsi="Arial"/>
          <w:sz w:val="24"/>
          <w:szCs w:val="24"/>
        </w:rPr>
        <w:t xml:space="preserve">If the dataset contains any column classified as Confidential or Restricted, the entire semantic model must use DirectQuery via a Databricks SQL Warehouse.</w:t>
      </w:r>
    </w:p>
    <w:p>
      <w:pPr>
        <w:pStyle w:val="ListParagraph"/>
        <w:numPr>
          <w:ilvl w:val="0"/>
          <w:numId w:val="2"/>
        </w:numPr>
      </w:pPr>
      <w:r>
        <w:rPr>
          <w:rFonts w:ascii="Arial" w:cs="Arial" w:eastAsia="Arial" w:hAnsi="Arial"/>
          <w:sz w:val="24"/>
          <w:szCs w:val="24"/>
        </w:rPr>
        <w:t xml:space="preserve">If the dataset is Internal, Direct Lake is permitted but Power BI RLS must be configured and validated against the equivalent UC row filter intent.</w:t>
      </w:r>
    </w:p>
    <w:p>
      <w:pPr>
        <w:pStyle w:val="ListParagraph"/>
        <w:numPr>
          <w:ilvl w:val="0"/>
          <w:numId w:val="2"/>
        </w:numPr>
      </w:pPr>
      <w:r>
        <w:rPr>
          <w:rFonts w:ascii="Arial" w:cs="Arial" w:eastAsia="Arial" w:hAnsi="Arial"/>
          <w:sz w:val="24"/>
          <w:szCs w:val="24"/>
        </w:rPr>
        <w:t xml:space="preserve">If the dataset is Public, Direct Lake is permitted with no additional RLS requirement.</w:t>
      </w:r>
    </w:p>
    <w:p>
      <w:pPr>
        <w:pStyle w:val="ListParagraph"/>
        <w:numPr>
          <w:ilvl w:val="0"/>
          <w:numId w:val="2"/>
        </w:numPr>
      </w:pPr>
      <w:r>
        <w:rPr>
          <w:rFonts w:ascii="Arial" w:cs="Arial" w:eastAsia="Arial" w:hAnsi="Arial"/>
          <w:sz w:val="24"/>
          <w:szCs w:val="24"/>
        </w:rPr>
        <w:t xml:space="preserve">Mixed-classification models (joining Public and Confidential tables) must adopt the highest classification’s serving mode.</w:t>
      </w:r>
    </w:p>
    <w:p>
      <w:pPr>
        <w:pStyle w:val="Heading2"/>
        <w:spacing w:before="120" w:after="120"/>
      </w:pPr>
      <w:r>
        <w:rPr>
          <w:rFonts w:ascii="Arial" w:cs="Arial" w:eastAsia="Arial" w:hAnsi="Arial"/>
          <w:sz w:val="24"/>
          <w:szCs w:val="24"/>
        </w:rPr>
        <w:t xml:space="preserve">3.3 Pre-Materialized Masked Views (Alternative for Restricted Data)</w:t>
      </w:r>
    </w:p>
    <w:p>
      <w:pPr>
        <w:spacing w:before="120" w:after="120"/>
      </w:pPr>
      <w:r>
        <w:rPr>
          <w:rFonts w:ascii="Arial" w:cs="Arial" w:eastAsia="Arial" w:hAnsi="Arial"/>
          <w:sz w:val="24"/>
          <w:szCs w:val="24"/>
        </w:rPr>
        <w:t xml:space="preserve">For Restricted datasets where DirectQuery latency is unacceptable for the use case, the architecture permits a controlled alternative: pre-materialized masked views in the Gold layer. These are Databricks SQL views that apply UC column masks and row filters at materialization time, writing the output to a dedicated masked Gold table. Direct Lake can then safely read this pre-filtered table because the sensitive values have already been removed or masked before they reach storage.</w:t>
      </w:r>
    </w:p>
    <w:p>
      <w:pPr>
        <w:spacing w:before="120" w:after="120"/>
      </w:pPr>
      <w:r>
        <w:rPr>
          <w:rFonts w:ascii="Arial" w:cs="Arial" w:eastAsia="Arial" w:hAnsi="Arial"/>
          <w:b/>
          <w:bCs/>
          <w:sz w:val="24"/>
          <w:szCs w:val="24"/>
        </w:rPr>
        <w:t xml:space="preserve">Constraints: </w:t>
      </w:r>
      <w:r>
        <w:rPr>
          <w:rFonts w:ascii="Arial" w:cs="Arial" w:eastAsia="Arial" w:hAnsi="Arial"/>
          <w:sz w:val="24"/>
          <w:szCs w:val="24"/>
        </w:rPr>
        <w:t xml:space="preserve">Masked views must be refreshed on the same cadence as the source table. The materialization pipeline must be owned by the data engineering team (not BI developers). Purview lineage must trace the masked table back to the source to maintain governance visibility.</w:t>
      </w:r>
    </w:p>
    <w:p>
      <w:r>
        <w:br w:type="page"/>
      </w:r>
    </w:p>
    <w:p>
      <w:pPr>
        <w:pStyle w:val="Heading1"/>
        <w:spacing w:before="120" w:after="120"/>
      </w:pPr>
      <w:r>
        <w:rPr>
          <w:rFonts w:ascii="Arial" w:cs="Arial" w:eastAsia="Arial" w:hAnsi="Arial"/>
          <w:sz w:val="24"/>
          <w:szCs w:val="24"/>
        </w:rPr>
        <w:t xml:space="preserve">4. Required Mitigation Controls</w:t>
      </w:r>
    </w:p>
    <w:p>
      <w:pPr>
        <w:spacing w:before="120" w:after="120"/>
      </w:pPr>
      <w:r>
        <w:rPr>
          <w:rFonts w:ascii="Arial" w:cs="Arial" w:eastAsia="Arial" w:hAnsi="Arial"/>
          <w:sz w:val="24"/>
          <w:szCs w:val="24"/>
        </w:rPr>
        <w:t xml:space="preserve">Regardless of the serving mode selected, the following controls must be implemented to address residual risk.</w:t>
      </w:r>
    </w:p>
    <w:p>
      <w:pPr>
        <w:pStyle w:val="Heading2"/>
        <w:spacing w:before="120" w:after="120"/>
      </w:pPr>
      <w:r>
        <w:rPr>
          <w:rFonts w:ascii="Arial" w:cs="Arial" w:eastAsia="Arial" w:hAnsi="Arial"/>
          <w:sz w:val="24"/>
          <w:szCs w:val="24"/>
        </w:rPr>
        <w:t xml:space="preserve">4.1 RLS Synchronization Process</w:t>
      </w:r>
    </w:p>
    <w:p>
      <w:pPr>
        <w:spacing w:before="120" w:after="120"/>
      </w:pPr>
      <w:r>
        <w:rPr>
          <w:rFonts w:ascii="Arial" w:cs="Arial" w:eastAsia="Arial" w:hAnsi="Arial"/>
          <w:sz w:val="24"/>
          <w:szCs w:val="24"/>
        </w:rPr>
        <w:t xml:space="preserve">For Internal datasets served via Direct Lake with Power BI RLS, a formal synchronization process must ensure that DAX-based RLS rules reflect the intent of UC row filter policies. The recommended approach is:</w:t>
      </w:r>
    </w:p>
    <w:p>
      <w:pPr>
        <w:pStyle w:val="ListParagraph"/>
        <w:numPr>
          <w:ilvl w:val="0"/>
          <w:numId w:val="3"/>
        </w:numPr>
      </w:pPr>
      <w:r>
        <w:rPr>
          <w:rFonts w:ascii="Arial" w:cs="Arial" w:eastAsia="Arial" w:hAnsi="Arial"/>
          <w:sz w:val="24"/>
          <w:szCs w:val="24"/>
        </w:rPr>
        <w:t xml:space="preserve">Maintain a mapping table in Unity Catalog that documents, for each dataset, the UC row filter function and the corresponding Power BI RLS DAX expression.</w:t>
      </w:r>
    </w:p>
    <w:p>
      <w:pPr>
        <w:pStyle w:val="ListParagraph"/>
        <w:numPr>
          <w:ilvl w:val="0"/>
          <w:numId w:val="3"/>
        </w:numPr>
      </w:pPr>
      <w:r>
        <w:rPr>
          <w:rFonts w:ascii="Arial" w:cs="Arial" w:eastAsia="Arial" w:hAnsi="Arial"/>
          <w:sz w:val="24"/>
          <w:szCs w:val="24"/>
        </w:rPr>
        <w:t xml:space="preserve">Implement a quarterly reconciliation review as part of the data governance cycle, comparing UC policies to Power BI RLS configurations.</w:t>
      </w:r>
    </w:p>
    <w:p>
      <w:pPr>
        <w:pStyle w:val="ListParagraph"/>
        <w:numPr>
          <w:ilvl w:val="0"/>
          <w:numId w:val="3"/>
        </w:numPr>
      </w:pPr>
      <w:r>
        <w:rPr>
          <w:rFonts w:ascii="Arial" w:cs="Arial" w:eastAsia="Arial" w:hAnsi="Arial"/>
          <w:sz w:val="24"/>
          <w:szCs w:val="24"/>
        </w:rPr>
        <w:t xml:space="preserve">Flag any UC row filter change in the CI/CD pipeline (e.g., Databricks Asset Bundles) to trigger a notification to the Power BI model owner.</w:t>
      </w:r>
    </w:p>
    <w:p>
      <w:pPr>
        <w:pStyle w:val="Heading2"/>
        <w:spacing w:before="120" w:after="120"/>
      </w:pPr>
      <w:r>
        <w:rPr>
          <w:rFonts w:ascii="Arial" w:cs="Arial" w:eastAsia="Arial" w:hAnsi="Arial"/>
          <w:sz w:val="24"/>
          <w:szCs w:val="24"/>
        </w:rPr>
        <w:t xml:space="preserve">4.2 Service Principal Scoping</w:t>
      </w:r>
    </w:p>
    <w:p>
      <w:pPr>
        <w:spacing w:before="120" w:after="120"/>
      </w:pPr>
      <w:r>
        <w:rPr>
          <w:rFonts w:ascii="Arial" w:cs="Arial" w:eastAsia="Arial" w:hAnsi="Arial"/>
          <w:sz w:val="24"/>
          <w:szCs w:val="24"/>
        </w:rPr>
        <w:t xml:space="preserve">The Power BI service principal used for Direct Lake should follow least-privilege principles:</w:t>
      </w:r>
    </w:p>
    <w:p>
      <w:pPr>
        <w:pStyle w:val="ListParagraph"/>
        <w:numPr>
          <w:ilvl w:val="0"/>
          <w:numId w:val="3"/>
        </w:numPr>
      </w:pPr>
      <w:r>
        <w:rPr>
          <w:rFonts w:ascii="Arial" w:cs="Arial" w:eastAsia="Arial" w:hAnsi="Arial"/>
          <w:sz w:val="24"/>
          <w:szCs w:val="24"/>
        </w:rPr>
        <w:t xml:space="preserve">Separate service principals per data classification tier (one for Public/Internal, another for Confidential/Restricted DirectQuery).</w:t>
      </w:r>
    </w:p>
    <w:p>
      <w:pPr>
        <w:pStyle w:val="ListParagraph"/>
        <w:numPr>
          <w:ilvl w:val="0"/>
          <w:numId w:val="3"/>
        </w:numPr>
      </w:pPr>
      <w:r>
        <w:rPr>
          <w:rFonts w:ascii="Arial" w:cs="Arial" w:eastAsia="Arial" w:hAnsi="Arial"/>
          <w:sz w:val="24"/>
          <w:szCs w:val="24"/>
        </w:rPr>
        <w:t xml:space="preserve">Storage ACLs on ADLS Gen2 containers scoped to the minimum set of Gold paths required by each service principal.</w:t>
      </w:r>
    </w:p>
    <w:p>
      <w:pPr>
        <w:pStyle w:val="ListParagraph"/>
        <w:numPr>
          <w:ilvl w:val="0"/>
          <w:numId w:val="3"/>
        </w:numPr>
      </w:pPr>
      <w:r>
        <w:rPr>
          <w:rFonts w:ascii="Arial" w:cs="Arial" w:eastAsia="Arial" w:hAnsi="Arial"/>
          <w:sz w:val="24"/>
          <w:szCs w:val="24"/>
        </w:rPr>
        <w:t xml:space="preserve">Service principal credentials stored in Azure Key Vault with rotation every 90 days.</w:t>
      </w:r>
    </w:p>
    <w:p>
      <w:pPr>
        <w:pStyle w:val="Heading2"/>
        <w:spacing w:before="120" w:after="120"/>
      </w:pPr>
      <w:r>
        <w:rPr>
          <w:rFonts w:ascii="Arial" w:cs="Arial" w:eastAsia="Arial" w:hAnsi="Arial"/>
          <w:sz w:val="24"/>
          <w:szCs w:val="24"/>
        </w:rPr>
        <w:t xml:space="preserve">4.3 Audit and Monitoring</w:t>
      </w:r>
    </w:p>
    <w:p>
      <w:pPr>
        <w:pStyle w:val="ListParagraph"/>
        <w:numPr>
          <w:ilvl w:val="0"/>
          <w:numId w:val="3"/>
        </w:numPr>
      </w:pPr>
      <w:r>
        <w:rPr>
          <w:rFonts w:ascii="Arial" w:cs="Arial" w:eastAsia="Arial" w:hAnsi="Arial"/>
          <w:sz w:val="24"/>
          <w:szCs w:val="24"/>
        </w:rPr>
        <w:t xml:space="preserve">Enable Databricks System Tables audit logging for all DirectQuery-served datasets to capture UC policy evaluations.</w:t>
      </w:r>
    </w:p>
    <w:p>
      <w:pPr>
        <w:pStyle w:val="ListParagraph"/>
        <w:numPr>
          <w:ilvl w:val="0"/>
          <w:numId w:val="3"/>
        </w:numPr>
      </w:pPr>
      <w:r>
        <w:rPr>
          <w:rFonts w:ascii="Arial" w:cs="Arial" w:eastAsia="Arial" w:hAnsi="Arial"/>
          <w:sz w:val="24"/>
          <w:szCs w:val="24"/>
        </w:rPr>
        <w:t xml:space="preserve">Enable Power BI activity logging for all Direct Lake-served datasets to capture RLS enforcement events.</w:t>
      </w:r>
    </w:p>
    <w:p>
      <w:pPr>
        <w:pStyle w:val="ListParagraph"/>
        <w:numPr>
          <w:ilvl w:val="0"/>
          <w:numId w:val="3"/>
        </w:numPr>
      </w:pPr>
      <w:r>
        <w:rPr>
          <w:rFonts w:ascii="Arial" w:cs="Arial" w:eastAsia="Arial" w:hAnsi="Arial"/>
          <w:sz w:val="24"/>
          <w:szCs w:val="24"/>
        </w:rPr>
        <w:t xml:space="preserve">Integrate both log streams into the centralized SIEM (Sentinel) for cross-correlation.</w:t>
      </w:r>
    </w:p>
    <w:p>
      <w:pPr>
        <w:pStyle w:val="ListParagraph"/>
        <w:numPr>
          <w:ilvl w:val="0"/>
          <w:numId w:val="3"/>
        </w:numPr>
      </w:pPr>
      <w:r>
        <w:rPr>
          <w:rFonts w:ascii="Arial" w:cs="Arial" w:eastAsia="Arial" w:hAnsi="Arial"/>
          <w:sz w:val="24"/>
          <w:szCs w:val="24"/>
        </w:rPr>
        <w:t xml:space="preserve">Quarterly access reviews must cover both UC grants and Power BI workspace membership.</w:t>
      </w:r>
    </w:p>
    <w:p>
      <w:pPr>
        <w:pStyle w:val="Heading2"/>
        <w:spacing w:before="120" w:after="120"/>
      </w:pPr>
      <w:r>
        <w:rPr>
          <w:rFonts w:ascii="Arial" w:cs="Arial" w:eastAsia="Arial" w:hAnsi="Arial"/>
          <w:sz w:val="24"/>
          <w:szCs w:val="24"/>
        </w:rPr>
        <w:t xml:space="preserve">4.4 Column Exclusion Policy</w:t>
      </w:r>
    </w:p>
    <w:p>
      <w:pPr>
        <w:spacing w:before="120" w:after="120"/>
      </w:pPr>
      <w:r>
        <w:rPr>
          <w:rFonts w:ascii="Arial" w:cs="Arial" w:eastAsia="Arial" w:hAnsi="Arial"/>
          <w:sz w:val="24"/>
          <w:szCs w:val="24"/>
        </w:rPr>
        <w:t xml:space="preserve">For Internal datasets served via Direct Lake, any column that carries a UC column mask must be excluded from the Power BI semantic model entirely (since Power BI has no column-masking equivalent). If the masked column is analytically required, the dataset must be upgraded to DirectQuery serving mode.</w:t>
      </w:r>
    </w:p>
    <w:p>
      <w:r>
        <w:br w:type="page"/>
      </w:r>
    </w:p>
    <w:p>
      <w:pPr>
        <w:pStyle w:val="Heading1"/>
        <w:spacing w:before="120" w:after="120"/>
      </w:pPr>
      <w:r>
        <w:rPr>
          <w:rFonts w:ascii="Arial" w:cs="Arial" w:eastAsia="Arial" w:hAnsi="Arial"/>
          <w:sz w:val="24"/>
          <w:szCs w:val="24"/>
        </w:rPr>
        <w:t xml:space="preserve">5. Impact Assessment</w:t>
      </w:r>
    </w:p>
    <w:p>
      <w:pPr>
        <w:pStyle w:val="Heading2"/>
        <w:spacing w:before="120" w:after="120"/>
      </w:pPr>
      <w:r>
        <w:rPr>
          <w:rFonts w:ascii="Arial" w:cs="Arial" w:eastAsia="Arial" w:hAnsi="Arial"/>
          <w:sz w:val="24"/>
          <w:szCs w:val="24"/>
        </w:rPr>
        <w:t xml:space="preserve">5.1 Performance Impact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2"/>
                <w:szCs w:val="22"/>
              </w:rPr>
              <w:t xml:space="preserve">Metric</w:t>
            </w:r>
          </w:p>
        </w:tc>
        <w:tc>
          <w:tcPr>
            <w:tcW w:type="dxa" w:w="234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2"/>
                <w:szCs w:val="22"/>
              </w:rPr>
              <w:t xml:space="preserve">Direct Lake</w:t>
            </w:r>
          </w:p>
        </w:tc>
        <w:tc>
          <w:tcPr>
            <w:tcW w:type="dxa" w:w="234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2"/>
                <w:szCs w:val="22"/>
              </w:rPr>
              <w:t xml:space="preserve">DirectQuery (SQL WH)</w:t>
            </w:r>
          </w:p>
        </w:tc>
        <w:tc>
          <w:tcPr>
            <w:tcW w:type="dxa" w:w="234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2"/>
                <w:szCs w:val="22"/>
              </w:rPr>
              <w:t xml:space="preserve">Delta</w:t>
            </w:r>
          </w:p>
        </w:tc>
      </w:tr>
      <w:tr>
        <w:tc>
          <w:tcPr>
            <w:tcW w:type="dxa" w:w="234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b/>
                <w:bCs/>
                <w:sz w:val="22"/>
                <w:szCs w:val="22"/>
              </w:rPr>
              <w:t xml:space="preserve">Query latency (p50)</w:t>
            </w:r>
          </w:p>
        </w:tc>
        <w:tc>
          <w:tcPr>
            <w:tcW w:type="dxa" w:w="234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&lt; 1 second</w:t>
            </w:r>
          </w:p>
        </w:tc>
        <w:tc>
          <w:tcPr>
            <w:tcW w:type="dxa" w:w="234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2–5 seconds</w:t>
            </w:r>
          </w:p>
        </w:tc>
        <w:tc>
          <w:tcPr>
            <w:tcW w:type="dxa" w:w="234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2–4x slower</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b/>
                <w:bCs/>
                <w:sz w:val="22"/>
                <w:szCs w:val="22"/>
              </w:rPr>
              <w:t xml:space="preserve">Databricks compute cost</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$0 (no DBU)</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DBU per query</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Incremental cost</w:t>
            </w:r>
          </w:p>
        </w:tc>
      </w:tr>
      <w:tr>
        <w:tc>
          <w:tcPr>
            <w:tcW w:type="dxa" w:w="234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b/>
                <w:bCs/>
                <w:sz w:val="22"/>
                <w:szCs w:val="22"/>
              </w:rPr>
              <w:t xml:space="preserve">Data freshness</w:t>
            </w:r>
          </w:p>
        </w:tc>
        <w:tc>
          <w:tcPr>
            <w:tcW w:type="dxa" w:w="234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Near real-time</w:t>
            </w:r>
          </w:p>
        </w:tc>
        <w:tc>
          <w:tcPr>
            <w:tcW w:type="dxa" w:w="234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Real-time</w:t>
            </w:r>
          </w:p>
        </w:tc>
        <w:tc>
          <w:tcPr>
            <w:tcW w:type="dxa" w:w="234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Comparable</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b/>
                <w:bCs/>
                <w:sz w:val="22"/>
                <w:szCs w:val="22"/>
              </w:rPr>
              <w:t xml:space="preserve">Concurrent users</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High (VertiPaq)</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Moderate (WH scaling)</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May require WH upsize</w:t>
            </w:r>
          </w:p>
        </w:tc>
      </w:tr>
    </w:tbl>
    <w:p>
      <w:pPr>
        <w:pStyle w:val="Heading2"/>
        <w:spacing w:before="120" w:after="120"/>
      </w:pPr>
      <w:r>
        <w:rPr>
          <w:rFonts w:ascii="Arial" w:cs="Arial" w:eastAsia="Arial" w:hAnsi="Arial"/>
          <w:sz w:val="24"/>
          <w:szCs w:val="24"/>
        </w:rPr>
        <w:t xml:space="preserve">5.2 Cost Impact</w:t>
      </w:r>
    </w:p>
    <w:p>
      <w:pPr>
        <w:spacing w:before="120" w:after="120"/>
      </w:pPr>
      <w:r>
        <w:rPr>
          <w:rFonts w:ascii="Arial" w:cs="Arial" w:eastAsia="Arial" w:hAnsi="Arial"/>
          <w:sz w:val="24"/>
          <w:szCs w:val="24"/>
        </w:rPr>
        <w:t xml:space="preserve">Based on the current Gold-layer dataset inventory, approximately 60–70% of Power BI semantic models serve Public or Internal data and can remain on Direct Lake at zero incremental Databricks cost. The remaining 30–40% of models serving Confidential or Restricted data will require always-on or auto-scaling SQL Warehouse endpoints, estimated at 15–25% additional DBU spend on the BI serving workload.</w:t>
      </w:r>
    </w:p>
    <w:p>
      <w:pPr>
        <w:pStyle w:val="Heading2"/>
        <w:spacing w:before="120" w:after="120"/>
      </w:pPr>
      <w:r>
        <w:rPr>
          <w:rFonts w:ascii="Arial" w:cs="Arial" w:eastAsia="Arial" w:hAnsi="Arial"/>
          <w:sz w:val="24"/>
          <w:szCs w:val="24"/>
        </w:rPr>
        <w:t xml:space="preserve">5.3 Governance Overhead</w:t>
      </w:r>
    </w:p>
    <w:p>
      <w:pPr>
        <w:spacing w:before="120" w:after="120"/>
      </w:pPr>
      <w:r>
        <w:rPr>
          <w:rFonts w:ascii="Arial" w:cs="Arial" w:eastAsia="Arial" w:hAnsi="Arial"/>
          <w:sz w:val="24"/>
          <w:szCs w:val="24"/>
        </w:rPr>
        <w:t xml:space="preserve">The tiered strategy introduces a classification dependency in the BI development workflow. New semantic models must include a classification check as part of the deployment pipeline. The quarterly RLS reconciliation adds approximately 2–4 hours per quarter per domain steward. These are acceptable overheads given the regulatory context.</w:t>
      </w:r>
    </w:p>
    <w:p>
      <w:pPr>
        <w:pStyle w:val="Heading1"/>
        <w:spacing w:before="120" w:after="120"/>
      </w:pPr>
      <w:r>
        <w:rPr>
          <w:rFonts w:ascii="Arial" w:cs="Arial" w:eastAsia="Arial" w:hAnsi="Arial"/>
          <w:sz w:val="24"/>
          <w:szCs w:val="24"/>
        </w:rPr>
        <w:t xml:space="preserve">6. Comparison with the Fabric-Primary Architecture</w:t>
      </w:r>
    </w:p>
    <w:p>
      <w:pPr>
        <w:spacing w:before="120" w:after="120"/>
      </w:pPr>
      <w:r>
        <w:rPr>
          <w:rFonts w:ascii="Arial" w:cs="Arial" w:eastAsia="Arial" w:hAnsi="Arial"/>
          <w:sz w:val="24"/>
          <w:szCs w:val="24"/>
        </w:rPr>
        <w:t xml:space="preserve">The Direct Lake security gap in the Databricks-primary architecture is structurally analogous to the Spark notebook security gap in the Fabric-primary architecture. In both cases, engine-specific security enforcement creates a vulnerability when data is accessed through a path that bypasses the policy enforcement engine.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2"/>
                <w:szCs w:val="22"/>
              </w:rPr>
              <w:t xml:space="preserve">Dimension</w:t>
            </w:r>
          </w:p>
        </w:tc>
        <w:tc>
          <w:tcPr>
            <w:tcW w:type="dxa" w:w="312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2"/>
                <w:szCs w:val="22"/>
              </w:rPr>
              <w:t xml:space="preserve">Databricks-Primary</w:t>
            </w:r>
          </w:p>
        </w:tc>
        <w:tc>
          <w:tcPr>
            <w:tcW w:type="dxa" w:w="312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r>
              <w:rPr>
                <w:rFonts w:ascii="Arial" w:cs="Arial" w:eastAsia="Arial" w:hAnsi="Arial"/>
                <w:b/>
                <w:bCs/>
                <w:color w:val="FFFFFF"/>
                <w:sz w:val="22"/>
                <w:szCs w:val="22"/>
              </w:rPr>
              <w:t xml:space="preserve">Fabric-Primary</w:t>
            </w:r>
          </w:p>
        </w:tc>
      </w:tr>
      <w:tr>
        <w:tc>
          <w:tcPr>
            <w:tcW w:type="dxa" w:w="312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b/>
                <w:bCs/>
                <w:sz w:val="22"/>
                <w:szCs w:val="22"/>
              </w:rPr>
              <w:t xml:space="preserve">Primary enforcement engine</w:t>
            </w:r>
          </w:p>
        </w:tc>
        <w:tc>
          <w:tcPr>
            <w:tcW w:type="dxa" w:w="312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Unity Catalog (compute-layer ABAC)</w:t>
            </w:r>
          </w:p>
        </w:tc>
        <w:tc>
          <w:tcPr>
            <w:tcW w:type="dxa" w:w="312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OneLake Security (engine-specific)</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b/>
                <w:bCs/>
                <w:sz w:val="22"/>
                <w:szCs w:val="22"/>
              </w:rPr>
              <w:t xml:space="preserve">Security gap location</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BI serving layer (Direct Lake)</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Spark notebooks (bypass OneLake RLS)</w:t>
            </w:r>
          </w:p>
        </w:tc>
      </w:tr>
      <w:tr>
        <w:tc>
          <w:tcPr>
            <w:tcW w:type="dxa" w:w="312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b/>
                <w:bCs/>
                <w:sz w:val="22"/>
                <w:szCs w:val="22"/>
              </w:rPr>
              <w:t xml:space="preserve">Scope of gap</w:t>
            </w:r>
          </w:p>
        </w:tc>
        <w:tc>
          <w:tcPr>
            <w:tcW w:type="dxa" w:w="312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Concentrated: only affects Power BI consumption</w:t>
            </w:r>
          </w:p>
        </w:tc>
        <w:tc>
          <w:tcPr>
            <w:tcW w:type="dxa" w:w="312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Broader: affects all Spark-based workloads</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b/>
                <w:bCs/>
                <w:sz w:val="22"/>
                <w:szCs w:val="22"/>
              </w:rPr>
              <w:t xml:space="preserve">Mitigation complexity</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Moderate: tiered serving + RLS sync</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High: dual-enforcement model + UC retention for sensitive data</w:t>
            </w:r>
          </w:p>
        </w:tc>
      </w:tr>
      <w:tr>
        <w:tc>
          <w:tcPr>
            <w:tcW w:type="dxa" w:w="312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b/>
                <w:bCs/>
                <w:sz w:val="22"/>
                <w:szCs w:val="22"/>
              </w:rPr>
              <w:t xml:space="preserve">Residual risk</w:t>
            </w:r>
          </w:p>
        </w:tc>
        <w:tc>
          <w:tcPr>
            <w:tcW w:type="dxa" w:w="312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Low if tiered strategy enforced</w:t>
            </w:r>
          </w:p>
        </w:tc>
        <w:tc>
          <w:tcPr>
            <w:tcW w:type="dxa" w:w="312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Medium due to broader gap surface</w:t>
            </w:r>
          </w:p>
        </w:tc>
      </w:tr>
    </w:tbl>
    <w:p>
      <w:pPr>
        <w:spacing w:before="120" w:after="120"/>
      </w:pPr>
      <w:r>
        <w:rPr>
          <w:rFonts w:ascii="Arial" w:cs="Arial" w:eastAsia="Arial" w:hAnsi="Arial"/>
          <w:sz w:val="24"/>
          <w:szCs w:val="24"/>
        </w:rPr>
        <w:t xml:space="preserve">The Databricks-primary architecture has the advantage of concentrating the security gap in a single, well-understood serving layer, making it more tractable to mitigate. The Fabric-primary architecture must manage the gap across a broader surface area (any Spark-based workload), which increases governance complexity.</w:t>
      </w:r>
    </w:p>
    <w:p>
      <w:r>
        <w:br w:type="page"/>
      </w:r>
    </w:p>
    <w:p>
      <w:pPr>
        <w:pStyle w:val="Heading1"/>
        <w:spacing w:before="120" w:after="120"/>
      </w:pPr>
      <w:r>
        <w:rPr>
          <w:rFonts w:ascii="Arial" w:cs="Arial" w:eastAsia="Arial" w:hAnsi="Arial"/>
          <w:sz w:val="24"/>
          <w:szCs w:val="24"/>
        </w:rPr>
        <w:t xml:space="preserve">7. Recommendations</w:t>
      </w:r>
    </w:p>
    <w:p>
      <w:pPr>
        <w:pStyle w:val="ListParagraph"/>
        <w:numPr>
          <w:ilvl w:val="0"/>
          <w:numId w:val="4"/>
        </w:numPr>
      </w:pPr>
      <w:r>
        <w:rPr>
          <w:rFonts w:ascii="Arial" w:cs="Arial" w:eastAsia="Arial" w:hAnsi="Arial"/>
          <w:b w:val="false"/>
          <w:bCs w:val="false"/>
          <w:sz w:val="24"/>
          <w:szCs w:val="24"/>
        </w:rPr>
        <w:t xml:space="preserve">Adopt the tiered serving strategy as a mandatory architectural standard. Add the decision matrix (Section 3.1) to the v8.0 architecture document as a normative section within the Power BI integration chapter.</w:t>
      </w:r>
    </w:p>
    <w:p>
      <w:pPr>
        <w:pStyle w:val="ListParagraph"/>
        <w:numPr>
          <w:ilvl w:val="0"/>
          <w:numId w:val="4"/>
        </w:numPr>
      </w:pPr>
      <w:r>
        <w:rPr>
          <w:rFonts w:ascii="Arial" w:cs="Arial" w:eastAsia="Arial" w:hAnsi="Arial"/>
          <w:sz w:val="24"/>
          <w:szCs w:val="24"/>
        </w:rPr>
        <w:t xml:space="preserve">Implement classification-based serving mode enforcement in the CI/CD pipeline. Databricks Asset Bundles and Power BI deployment pipelines should validate that the serving mode matches the dataset classification before deployment.</w:t>
      </w:r>
    </w:p>
    <w:p>
      <w:pPr>
        <w:pStyle w:val="ListParagraph"/>
        <w:numPr>
          <w:ilvl w:val="0"/>
          <w:numId w:val="4"/>
        </w:numPr>
      </w:pPr>
      <w:r>
        <w:rPr>
          <w:rFonts w:ascii="Arial" w:cs="Arial" w:eastAsia="Arial" w:hAnsi="Arial"/>
          <w:sz w:val="24"/>
          <w:szCs w:val="24"/>
        </w:rPr>
        <w:t xml:space="preserve">Establish the quarterly RLS reconciliation process (Section 4.1) under the Data Governance practice, with domain stewards responsible for validation and the Security &amp; Data Privacy practice responsible for audit.</w:t>
      </w:r>
    </w:p>
    <w:p>
      <w:pPr>
        <w:pStyle w:val="ListParagraph"/>
        <w:numPr>
          <w:ilvl w:val="0"/>
          <w:numId w:val="4"/>
        </w:numPr>
      </w:pPr>
      <w:r>
        <w:rPr>
          <w:rFonts w:ascii="Arial" w:cs="Arial" w:eastAsia="Arial" w:hAnsi="Arial"/>
          <w:sz w:val="24"/>
          <w:szCs w:val="24"/>
        </w:rPr>
        <w:t xml:space="preserve">Deploy separate service principals per classification tier (Section 4.2) and implement ADLS Gen2 ACL scoping to enforce storage-level least-privilege.</w:t>
      </w:r>
    </w:p>
    <w:p>
      <w:pPr>
        <w:pStyle w:val="ListParagraph"/>
        <w:numPr>
          <w:ilvl w:val="0"/>
          <w:numId w:val="4"/>
        </w:numPr>
      </w:pPr>
      <w:r>
        <w:rPr>
          <w:rFonts w:ascii="Arial" w:cs="Arial" w:eastAsia="Arial" w:hAnsi="Arial"/>
          <w:sz w:val="24"/>
          <w:szCs w:val="24"/>
        </w:rPr>
        <w:t xml:space="preserve">Evaluate pre-materialized masked views (Section 3.3) for high-frequency Restricted datasets where DirectQuery latency impacts business SLAs. Pilot with one actuarial reporting use case.</w:t>
      </w:r>
    </w:p>
    <w:p>
      <w:pPr>
        <w:pStyle w:val="ListParagraph"/>
        <w:numPr>
          <w:ilvl w:val="0"/>
          <w:numId w:val="4"/>
        </w:numPr>
      </w:pPr>
      <w:r>
        <w:rPr>
          <w:rFonts w:ascii="Arial" w:cs="Arial" w:eastAsia="Arial" w:hAnsi="Arial"/>
          <w:sz w:val="24"/>
          <w:szCs w:val="24"/>
        </w:rPr>
        <w:t xml:space="preserve">Document this tiered serving strategy as a differential strength of the Databricks-primary architecture in the comparative analysis, noting its narrower gap surface compared to Fabric-primary.</w:t>
      </w:r>
    </w:p>
    <w:p>
      <w:pPr>
        <w:pStyle w:val="Heading1"/>
        <w:spacing w:before="120" w:after="120"/>
      </w:pPr>
      <w:r>
        <w:rPr>
          <w:rFonts w:ascii="Arial" w:cs="Arial" w:eastAsia="Arial" w:hAnsi="Arial"/>
          <w:sz w:val="24"/>
          <w:szCs w:val="24"/>
        </w:rPr>
        <w:t xml:space="preserve">8. Document Control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c>
          <w:tcPr>
            <w:tcW w:type="dxa" w:w="234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b/>
                <w:bCs/>
                <w:sz w:val="22"/>
                <w:szCs w:val="22"/>
              </w:rPr>
              <w:t xml:space="preserve">Version</w:t>
            </w:r>
          </w:p>
        </w:tc>
        <w:tc>
          <w:tcPr>
            <w:tcW w:type="dxa" w:w="702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1.0</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b/>
                <w:bCs/>
                <w:sz w:val="22"/>
                <w:szCs w:val="22"/>
              </w:rPr>
              <w:t xml:space="preserve">Date</w:t>
            </w:r>
          </w:p>
        </w:tc>
        <w:tc>
          <w:tcPr>
            <w:tcW w:type="dxa" w:w="7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March 6, 2026</w:t>
            </w:r>
          </w:p>
        </w:tc>
      </w:tr>
      <w:tr>
        <w:tc>
          <w:tcPr>
            <w:tcW w:type="dxa" w:w="234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b/>
                <w:bCs/>
                <w:sz w:val="22"/>
                <w:szCs w:val="22"/>
              </w:rPr>
              <w:t xml:space="preserve">Status</w:t>
            </w:r>
          </w:p>
        </w:tc>
        <w:tc>
          <w:tcPr>
            <w:tcW w:type="dxa" w:w="702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Draft — For Review</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b/>
                <w:bCs/>
                <w:sz w:val="22"/>
                <w:szCs w:val="22"/>
              </w:rPr>
              <w:t xml:space="preserve">Classification</w:t>
            </w:r>
          </w:p>
        </w:tc>
        <w:tc>
          <w:tcPr>
            <w:tcW w:type="dxa" w:w="7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Confidential</w:t>
            </w:r>
          </w:p>
        </w:tc>
      </w:tr>
      <w:tr>
        <w:tc>
          <w:tcPr>
            <w:tcW w:type="dxa" w:w="234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b/>
                <w:bCs/>
                <w:sz w:val="22"/>
                <w:szCs w:val="22"/>
              </w:rPr>
              <w:t xml:space="preserve">Parent Document</w:t>
            </w:r>
          </w:p>
        </w:tc>
        <w:tc>
          <w:tcPr>
            <w:tcW w:type="dxa" w:w="7020"/>
            <w:tcBorders>
              <w:top w:val="single" w:color="CCCCCC" w:sz="1"/>
              <w:left w:val="single" w:color="CCCCCC" w:sz="1"/>
              <w:bottom w:val="single" w:color="CCCCCC" w:sz="1"/>
              <w:right w:val="single" w:color="CCCCCC" w:sz="1"/>
            </w:tcBorders>
            <w:shd w:fill="F2F7FB"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01_Modern_Data_Platform_Architecture_Greenfield_v8.docx</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b/>
                <w:bCs/>
                <w:sz w:val="22"/>
                <w:szCs w:val="22"/>
              </w:rPr>
              <w:t xml:space="preserve">Scope</w:t>
            </w:r>
          </w:p>
        </w:tc>
        <w:tc>
          <w:tcPr>
            <w:tcW w:type="dxa" w:w="7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before="40" w:after="40"/>
            </w:pPr>
            <w:r>
              <w:rPr>
                <w:rFonts w:ascii="Arial" w:cs="Arial" w:eastAsia="Arial" w:hAnsi="Arial"/>
                <w:sz w:val="22"/>
                <w:szCs w:val="22"/>
              </w:rPr>
              <w:t xml:space="preserve">Databricks-Primary Architecture — Power BI Serving Layer</w:t>
            </w:r>
          </w:p>
        </w:tc>
      </w:tr>
    </w:tbl>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3A5C" w:sz="4" w:space="4"/>
      </w:pBdr>
    </w:pPr>
    <w:r>
      <w:rPr>
        <w:rFonts w:ascii="Arial" w:cs="Arial" w:eastAsia="Arial" w:hAnsi="Arial"/>
        <w:color w:val="888888"/>
        <w:sz w:val="16"/>
        <w:szCs w:val="16"/>
      </w:rPr>
      <w:t xml:space="preserve">CONFIDENTIAL</w:t>
    </w:r>
    <w:r>
      <w:rPr>
        <w:rFonts w:ascii="Arial" w:cs="Arial" w:eastAsia="Arial" w:hAnsi="Arial"/>
        <w:color w:val="888888"/>
        <w:sz w:val="16"/>
        <w:szCs w:val="16"/>
      </w:rPr>
      <w:t xml:space="preserve">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C" w:sz="4" w:space="4"/>
      </w:pBdr>
    </w:pPr>
    <w:r>
      <w:rPr>
        <w:rFonts w:ascii="Arial" w:cs="Arial" w:eastAsia="Arial" w:hAnsi="Arial"/>
        <w:i/>
        <w:iCs/>
        <w:color w:val="888888"/>
        <w:sz w:val="18"/>
        <w:szCs w:val="18"/>
      </w:rPr>
      <w:t xml:space="preserve">Greenfield — Modern Data Platform</w:t>
    </w:r>
    <w:r>
      <w:rPr>
        <w:rFonts w:ascii="Arial" w:cs="Arial" w:eastAsia="Arial" w:hAnsi="Arial"/>
        <w:i/>
        <w:iCs/>
        <w:color w:val="888888"/>
        <w:sz w:val="18"/>
        <w:szCs w:val="18"/>
      </w:rPr>
      <w:t xml:space="preserve">	BI Serving Security Recommendation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3A5C"/>
      <w:sz w:val="36"/>
      <w:szCs w:val="36"/>
    </w:rPr>
  </w:style>
  <w:style w:type="paragraph" w:styleId="Heading2">
    <w:name w:val="Heading 2"/>
    <w:basedOn w:val="Normal"/>
    <w:next w:val="Normal"/>
    <w:qFormat/>
    <w:pPr>
      <w:spacing w:before="280" w:after="160"/>
      <w:outlineLvl w:val="1"/>
    </w:pPr>
    <w:rPr>
      <w:rFonts w:ascii="Arial" w:cs="Arial" w:eastAsia="Arial" w:hAnsi="Arial"/>
      <w:b/>
      <w:bCs/>
      <w:color w:val="2E5984"/>
      <w:sz w:val="30"/>
      <w:szCs w:val="30"/>
    </w:rPr>
  </w:style>
  <w:style w:type="paragraph" w:styleId="Heading3">
    <w:name w:val="Heading 3"/>
    <w:basedOn w:val="Normal"/>
    <w:next w:val="Normal"/>
    <w:qFormat/>
    <w:pPr>
      <w:spacing w:before="200" w:after="120"/>
      <w:outlineLvl w:val="2"/>
    </w:pPr>
    <w:rPr>
      <w:rFonts w:ascii="Arial" w:cs="Arial" w:eastAsia="Arial" w:hAnsi="Arial"/>
      <w:b/>
      <w:bCs/>
      <w:color w:val="3D7AB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2026-03-06T06:06:37.909Z</dcterms:created>
  <dcterms:modified xsi:type="dcterms:W3CDTF">2026-03-06T06:06:37.909Z</dcterms:modified>
</cp:coreProperties>
</file>

<file path=docProps/custom.xml><?xml version="1.0" encoding="utf-8"?>
<Properties xmlns="http://schemas.openxmlformats.org/officeDocument/2006/custom-properties" xmlns:vt="http://schemas.openxmlformats.org/officeDocument/2006/docPropsVTypes"/>
</file>