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400"/>
      </w:pPr>
    </w:p>
    <w:p>
      <w:pPr>
        <w:spacing w:line="400"/>
      </w:pPr>
    </w:p>
    <w:p>
      <w:pPr>
        <w:spacing w:line="400"/>
      </w:pPr>
    </w:p>
    <w:p>
      <w:pPr>
        <w:spacing w:line="400"/>
        <w:jc w:val="center"/>
      </w:pPr>
      <w:r>
        <w:t xml:space="preserve">GREENFIELD</w:t>
      </w:r>
    </w:p>
    <w:p>
      <w:pPr>
        <w:spacing w:line="400"/>
        <w:jc w:val="center"/>
      </w:pPr>
      <w:r>
        <w:t xml:space="preserve">Data &amp; AI Solutions</w:t>
      </w:r>
    </w:p>
    <w:p>
      <w:pPr>
        <w:spacing w:line="400"/>
      </w:pPr>
    </w:p>
    <w:p>
      <w:pPr>
        <w:spacing w:line="400"/>
        <w:jc w:val="center"/>
      </w:pPr>
      <w:r>
        <w:t xml:space="preserve">APPENDIX C</w:t>
      </w:r>
    </w:p>
    <w:p>
      <w:pPr>
        <w:spacing w:line="400"/>
      </w:pPr>
    </w:p>
    <w:p>
      <w:pPr>
        <w:spacing w:line="400"/>
        <w:jc w:val="center"/>
      </w:pPr>
      <w:r>
        <w:t xml:space="preserve">FinOps &amp; Sector Chargeback</w:t>
      </w:r>
    </w:p>
    <w:p>
      <w:pPr>
        <w:spacing w:line="400"/>
      </w:pPr>
    </w:p>
    <w:p>
      <w:pPr>
        <w:spacing w:line="400"/>
        <w:jc w:val="center"/>
      </w:pPr>
      <w:r>
        <w:t xml:space="preserve">Implementation Architecture for Cost Attribution</w:t>
      </w:r>
    </w:p>
    <w:p>
      <w:pPr>
        <w:spacing w:line="400"/>
      </w:pPr>
    </w:p>
    <w:p>
      <w:pPr>
        <w:spacing w:line="400"/>
        <w:jc w:val="center"/>
      </w:pPr>
      <w:r>
        <w:t xml:space="preserve">Fabric-Primary Architecture — v1.0</w:t>
      </w:r>
    </w:p>
    <w:p>
      <w:pPr>
        <w:spacing w:line="400"/>
      </w:pPr>
    </w:p>
    <w:p>
      <w:pPr>
        <w:spacing w:line="400"/>
      </w:pPr>
    </w:p>
    <w:p>
      <w:pPr>
        <w:spacing w:line="400"/>
        <w:jc w:val="center"/>
      </w:pPr>
      <w:r>
        <w:t xml:space="preserve">Classification: CONFIDENTIAL</w:t>
      </w:r>
    </w:p>
    <w:p>
      <w:pPr>
        <w:spacing w:line="400"/>
      </w:pPr>
    </w:p>
    <w:p>
      <w:pPr>
        <w:spacing w:line="400"/>
        <w:jc w:val="center"/>
      </w:pPr>
      <w:r>
        <w:t xml:space="preserve">March 2026</w:t>
      </w:r>
    </w:p>
    <w:p>
      <w:pPr>
        <w:pStyle w:val="Heading1"/>
        <w:spacing w:line="400"/>
      </w:pPr>
      <w:r>
        <w:t xml:space="preserve">TABLE OF CONTENTS</w:t>
      </w:r>
    </w:p>
    <w:p>
      <w:pPr>
        <w:spacing w:line="360" w:after="100"/>
      </w:pPr>
      <w:r>
        <w:t xml:space="preserve">1. Introduction &amp; Objectives</w:t>
      </w:r>
    </w:p>
    <w:p>
      <w:pPr>
        <w:spacing w:line="360" w:after="100"/>
      </w:pPr>
      <w:r>
        <w:t xml:space="preserve">   1.1 Cost Anatomy</w:t>
      </w:r>
    </w:p>
    <w:p>
      <w:pPr>
        <w:spacing w:line="360" w:after="100"/>
      </w:pPr>
      <w:r>
        <w:t xml:space="preserve">2. Fabric Capacity Cost Attribution (Layer 1)</w:t>
      </w:r>
    </w:p>
    <w:p>
      <w:pPr>
        <w:spacing w:line="360"/>
      </w:pPr>
      <w:r>
        <w:t xml:space="preserve">   2.1 Fabric Capacity Metrics API</w:t>
      </w:r>
    </w:p>
    <w:p>
      <w:pPr>
        <w:spacing w:line="360"/>
      </w:pPr>
      <w:r>
        <w:t xml:space="preserve">   2.2 Workspace-to-Sector Mapping</w:t>
      </w:r>
    </w:p>
    <w:p>
      <w:pPr>
        <w:spacing w:line="360"/>
      </w:pPr>
      <w:r>
        <w:t xml:space="preserve">   2.3 CU Attribution Strategy</w:t>
      </w:r>
    </w:p>
    <w:p>
      <w:pPr>
        <w:spacing w:line="360" w:after="100"/>
      </w:pPr>
      <w:r>
        <w:t xml:space="preserve">   2.4 Capacity Right-Sizing</w:t>
      </w:r>
    </w:p>
    <w:p>
      <w:pPr>
        <w:spacing w:line="360" w:after="100"/>
      </w:pPr>
      <w:r>
        <w:t xml:space="preserve">3. Databricks Residual Cost Attribution (Layer 2)</w:t>
      </w:r>
    </w:p>
    <w:p>
      <w:pPr>
        <w:spacing w:line="360"/>
      </w:pPr>
      <w:r>
        <w:t xml:space="preserve">   3.1 Mandatory Tag Taxonomy</w:t>
      </w:r>
    </w:p>
    <w:p>
      <w:pPr>
        <w:spacing w:line="360"/>
      </w:pPr>
      <w:r>
        <w:t xml:space="preserve">   3.2 Cluster Policy Enforcement</w:t>
      </w:r>
    </w:p>
    <w:p>
      <w:pPr>
        <w:spacing w:line="360" w:after="100"/>
      </w:pPr>
      <w:r>
        <w:t xml:space="preserve">   3.3 System Tables Queries</w:t>
      </w:r>
    </w:p>
    <w:p>
      <w:pPr>
        <w:spacing w:line="360" w:after="100"/>
      </w:pPr>
      <w:r>
        <w:t xml:space="preserve">4. Shared Cost Allocation (Layer 3)</w:t>
      </w:r>
    </w:p>
    <w:p>
      <w:pPr>
        <w:spacing w:line="360"/>
      </w:pPr>
      <w:r>
        <w:t xml:space="preserve">   4.1 Non-Attributable Cost Categories</w:t>
      </w:r>
    </w:p>
    <w:p>
      <w:pPr>
        <w:spacing w:line="360" w:after="100"/>
      </w:pPr>
      <w:r>
        <w:t xml:space="preserve">   4.2 Weighted Composite Allocation Key</w:t>
      </w:r>
    </w:p>
    <w:p>
      <w:pPr>
        <w:spacing w:line="360" w:after="100"/>
      </w:pPr>
      <w:r>
        <w:t xml:space="preserve">5. Unified Billing Pipeline (Layer 4)</w:t>
      </w:r>
    </w:p>
    <w:p>
      <w:pPr>
        <w:spacing w:line="360"/>
      </w:pPr>
      <w:r>
        <w:t xml:space="preserve">   5.1 Pipeline Architecture</w:t>
      </w:r>
    </w:p>
    <w:p>
      <w:pPr>
        <w:spacing w:line="360" w:after="100"/>
      </w:pPr>
      <w:r>
        <w:t xml:space="preserve">   5.2 Orchestration</w:t>
      </w:r>
    </w:p>
    <w:p>
      <w:pPr>
        <w:spacing w:line="360" w:after="100"/>
      </w:pPr>
      <w:r>
        <w:t xml:space="preserve">6. Azure Cost Management Integration (Layer 5)</w:t>
      </w:r>
    </w:p>
    <w:p>
      <w:pPr>
        <w:spacing w:line="360" w:after="100"/>
      </w:pPr>
      <w:r>
        <w:t xml:space="preserve">7. Governance &amp; Reporting Cycle</w:t>
      </w:r>
    </w:p>
    <w:p>
      <w:pPr>
        <w:spacing w:line="360"/>
      </w:pPr>
      <w:r>
        <w:t xml:space="preserve">8. Implementation Summary</w:t>
      </w:r>
    </w:p>
    <w:p>
      <w:pPr>
        <w:pStyle w:val="Heading1"/>
        <w:spacing w:before="400" w:after="200"/>
        <w:outlineLvl w:val="0"/>
      </w:pPr>
      <w:r>
        <w:t xml:space="preserve">1. Introduction &amp; Objectives</w:t>
      </w:r>
    </w:p>
    <w:p>
      <w:pPr>
        <w:pStyle w:val="Heading2"/>
        <w:spacing w:before="200" w:after="100"/>
        <w:outlineLvl w:val="1"/>
      </w:pPr>
      <w:r>
        <w:t xml:space="preserve">1.1 Cost Anatomy</w:t>
      </w:r>
    </w:p>
    <w:p>
      <w:pPr>
        <w:spacing w:line="360" w:after="100"/>
      </w:pPr>
      <w:r>
        <w:t xml:space="preserve">Dual Cost Model for Fabric-Primary architecture combining Fabric, Databricks, Azure infrastructure, SAS, and shared services.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Cost Category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Metric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Proportion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Attribution Model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Fabric CU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CU-seconds/day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60-75%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Workspace-level aggregation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Databricks DBU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DBU-hours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15-25%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Cluster tagging + system tables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Azure Infrastructure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Storage + Networking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5-10%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Shared allocation key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SAS Viya Licensing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SAS consumption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5-10%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Business unit contract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Shared Services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Governance, DevOps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3-5%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Proportional allocation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  <w:outlineLvl w:val="0"/>
      </w:pPr>
      <w:r>
        <w:t xml:space="preserve">2. Fabric Capacity Cost Attribution (Layer 1)</w:t>
      </w:r>
    </w:p>
    <w:p>
      <w:pPr>
        <w:pStyle w:val="Heading2"/>
        <w:spacing w:before="200" w:after="100"/>
        <w:outlineLvl w:val="1"/>
      </w:pPr>
      <w:r>
        <w:t xml:space="preserve">2.1 Fabric Capacity Metrics API</w:t>
      </w:r>
    </w:p>
    <w:p>
      <w:pPr>
        <w:spacing w:line="360" w:after="200"/>
      </w:pPr>
      <w:r>
        <w:t xml:space="preserve">Retrieve CU-seconds per workspace/day via Admin API. Breakdown by item type (Lakehouse, Dataflow, Report, etc.). Usage attribution by user/service principal. Daily capacity utilization percentage tracking.</w:t>
      </w:r>
    </w:p>
    <w:p>
      <w:pPr>
        <w:pStyle w:val="Heading2"/>
        <w:spacing w:before="200" w:after="100"/>
        <w:outlineLvl w:val="1"/>
      </w:pPr>
      <w:r>
        <w:t xml:space="preserve">2.2 Workspace-to-Sector Mapping</w:t>
      </w:r>
    </w:p>
    <w:p>
      <w:pPr>
        <w:spacing w:line="360" w:after="100"/>
      </w:pPr>
      <w:r>
        <w:t xml:space="preserve">Naming convention: ws-{sector}-{tier}-{purpose}. Purview metadata tagging:</w:t>
      </w:r>
    </w:p>
    <w:p>
      <w:pPr>
        <w:pStyle w:val="ListParagraph"/>
        <w:numPr>
          <w:ilvl w:val="0"/>
          <w:numId w:val="1"/>
        </w:numPr>
        <w:spacing w:line="360"/>
      </w:pPr>
      <w:r>
        <w:t xml:space="preserve">sector (banking, insurance, wealth, enterprise)</w:t>
      </w:r>
    </w:p>
    <w:p>
      <w:pPr>
        <w:pStyle w:val="ListParagraph"/>
        <w:numPr>
          <w:ilvl w:val="0"/>
          <w:numId w:val="1"/>
        </w:numPr>
        <w:spacing w:line="360"/>
      </w:pPr>
      <w:r>
        <w:t xml:space="preserve">cost_center</w:t>
      </w:r>
    </w:p>
    <w:p>
      <w:pPr>
        <w:pStyle w:val="ListParagraph"/>
        <w:numPr>
          <w:ilvl w:val="0"/>
          <w:numId w:val="1"/>
        </w:numPr>
        <w:spacing w:line="360"/>
      </w:pPr>
      <w:r>
        <w:t xml:space="preserve">business_unit</w:t>
      </w:r>
    </w:p>
    <w:p>
      <w:pPr>
        <w:pStyle w:val="ListParagraph"/>
        <w:numPr>
          <w:ilvl w:val="0"/>
          <w:numId w:val="1"/>
        </w:numPr>
        <w:spacing w:line="360" w:after="200"/>
      </w:pPr>
      <w:r>
        <w:t xml:space="preserve">data_tier (bronze, silver, gold)</w:t>
      </w:r>
    </w:p>
    <w:p>
      <w:pPr>
        <w:pStyle w:val="Heading2"/>
        <w:spacing w:before="200" w:after="100"/>
        <w:outlineLvl w:val="1"/>
      </w:pPr>
      <w:r>
        <w:t xml:space="preserve">2.3 CU Attribution Strategy</w:t>
      </w:r>
    </w:p>
    <w:p>
      <w:pPr>
        <w:spacing w:line="360" w:after="100"/>
      </w:pPr>
      <w:r>
        <w:t xml:space="preserve">Direct Attribution:</w:t>
      </w:r>
    </w:p>
    <w:p>
      <w:pPr>
        <w:pStyle w:val="ListParagraph"/>
        <w:numPr>
          <w:ilvl w:val="1"/>
          <w:numId w:val="1"/>
        </w:numPr>
        <w:spacing w:line="360" w:after="100"/>
      </w:pPr>
      <w:r>
        <w:t xml:space="preserve">Sector-dedicated workspaces: 100% cost to owning sector</w:t>
      </w:r>
    </w:p>
    <w:p>
      <w:pPr>
        <w:spacing w:line="360" w:after="100"/>
      </w:pPr>
      <w:r>
        <w:t xml:space="preserve">Shared Attribution:</w:t>
      </w:r>
    </w:p>
    <w:p>
      <w:pPr>
        <w:pStyle w:val="ListParagraph"/>
        <w:numPr>
          <w:ilvl w:val="1"/>
          <w:numId w:val="1"/>
        </w:numPr>
        <w:spacing w:line="360" w:after="100"/>
      </w:pPr>
      <w:r>
        <w:t xml:space="preserve">Multi-sector workspaces: proportional allocation based on measured CU consumption per user/workload</w:t>
      </w:r>
    </w:p>
    <w:p>
      <w:pPr>
        <w:spacing w:line="360" w:after="100"/>
      </w:pPr>
      <w:r>
        <w:t xml:space="preserve">Power BI Attribution:</w:t>
      </w:r>
    </w:p>
    <w:p>
      <w:pPr>
        <w:pStyle w:val="ListParagraph"/>
        <w:numPr>
          <w:ilvl w:val="1"/>
          <w:numId w:val="1"/>
        </w:numPr>
        <w:spacing w:line="360" w:after="200"/>
      </w:pPr>
      <w:r>
        <w:t xml:space="preserve">Reports attributed to owning workspace → sector</w:t>
      </w:r>
    </w:p>
    <w:p>
      <w:pPr>
        <w:pStyle w:val="Heading2"/>
        <w:spacing w:before="200" w:after="100"/>
        <w:outlineLvl w:val="1"/>
      </w:pPr>
      <w:r>
        <w:t xml:space="preserve">2.4 Capacity Right-Sizing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F-SKU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Capacity (CU)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Use Case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Est. Cost/mo (CAD)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F64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64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Small workspaces, dev/test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$6,400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F128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128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Medium production, 2-3 sectors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$12,800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F256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256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Large production, all sectors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$25,600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  <w:outlineLvl w:val="0"/>
      </w:pPr>
      <w:r>
        <w:t xml:space="preserve">3. Databricks Residual Cost Attribution (Layer 2)</w:t>
      </w:r>
    </w:p>
    <w:p>
      <w:pPr>
        <w:pStyle w:val="Heading2"/>
        <w:spacing w:before="200" w:after="100"/>
        <w:outlineLvl w:val="1"/>
      </w:pPr>
      <w:r>
        <w:t xml:space="preserve">3.1 Mandatory Tag Taxonomy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Tag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Values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Purpose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Level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sector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banking, insurance, wealth, enterprise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Business domain identifier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Cluster, Job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domain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*-bronze, *-silver, *-gold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Data tier classification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Cluster, Job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environment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dev, test, prod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Deployment stage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Cluster, Job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cost_center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CC_[0-9]{6}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Finance chargeback code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Cluster, Job</w:t>
            </w:r>
          </w:p>
        </w:tc>
      </w:tr>
    </w:tbl>
    <w:p>
      <w:pPr>
        <w:spacing w:after="200"/>
      </w:pPr>
    </w:p>
    <w:p>
      <w:pPr>
        <w:pStyle w:val="Heading2"/>
        <w:spacing w:before="200" w:after="100"/>
        <w:outlineLvl w:val="1"/>
      </w:pPr>
      <w:r>
        <w:t xml:space="preserve">3.2 Cluster Policy Enforcement</w:t>
      </w:r>
    </w:p>
    <w:p>
      <w:pPr>
        <w:spacing w:line="360" w:after="200"/>
      </w:pPr>
      <w:r>
        <w:t xml:space="preserve">One cluster policy per sector. Fixed sector tag; allowlisted domain values; regex validation on cost_center pattern (CC_[0-9]{6}). Policy prevents cluster creation without mandatory tags.</w:t>
      </w:r>
    </w:p>
    <w:p>
      <w:pPr>
        <w:pStyle w:val="Heading2"/>
        <w:spacing w:before="200" w:after="100"/>
        <w:outlineLvl w:val="1"/>
      </w:pPr>
      <w:r>
        <w:t xml:space="preserve">3.3 System Tables Queries</w:t>
      </w:r>
    </w:p>
    <w:p>
      <w:pPr>
        <w:spacing w:line="360" w:after="200"/>
      </w:pPr>
      <w:r>
        <w:t xml:space="preserve">Same attribution approach as Databricks-primary v8.0 for residual DBU workloads. Daily ingestion of system.billing.* tables; aggregation by sector/domain/environment/cost_center.</w:t>
      </w:r>
    </w:p>
    <w:p>
      <w:pPr>
        <w:pStyle w:val="Heading1"/>
        <w:spacing w:before="400" w:after="200"/>
        <w:outlineLvl w:val="0"/>
      </w:pPr>
      <w:r>
        <w:t xml:space="preserve">4. Shared Cost Allocation (Layer 3)</w:t>
      </w:r>
    </w:p>
    <w:p>
      <w:pPr>
        <w:pStyle w:val="Heading2"/>
        <w:spacing w:before="200" w:after="100"/>
        <w:outlineLvl w:val="1"/>
      </w:pPr>
      <w:r>
        <w:t xml:space="preserve">4.1 Non-Attributable Cost Categories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Category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Examples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Monthly CAD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Allocation Method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Fabric Shared Workspaces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ws-shared-gold, ws-bi-serving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$12-18K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Proportional to sector consumption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Databricks Unity Catalog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UC governance, metastore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$2-4K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% of DBU spend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Azure Infrastructure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ADLS Gen2, networking, VNET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$6-10K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Storage consumption + fixed allocation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Governance &amp; Audit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Purview, Manta, audit logs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$5-8K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Evenly distributed or per-transaction</w:t>
            </w:r>
          </w:p>
        </w:tc>
      </w:tr>
    </w:tbl>
    <w:p>
      <w:pPr>
        <w:spacing w:after="200"/>
      </w:pPr>
    </w:p>
    <w:p>
      <w:pPr>
        <w:pStyle w:val="Heading2"/>
        <w:spacing w:before="200" w:after="100"/>
        <w:outlineLvl w:val="1"/>
      </w:pPr>
      <w:r>
        <w:t xml:space="preserve">4.2 Weighted Composite Allocation Key</w:t>
      </w:r>
    </w:p>
    <w:p>
      <w:pPr>
        <w:spacing w:line="360" w:after="200"/>
      </w:pPr>
      <w:r>
        <w:t xml:space="preserve">Allocation formula: 60% Fabric CU + 30% Databricks DBU + 10% Storage/Infrastructure. Applied to shared cost pools monthly.</w:t>
      </w:r>
    </w:p>
    <w:p>
      <w:pPr>
        <w:pStyle w:val="Heading1"/>
        <w:spacing w:before="400" w:after="200"/>
        <w:outlineLvl w:val="0"/>
      </w:pPr>
      <w:r>
        <w:t xml:space="preserve">5. Unified Billing Pipeline (Layer 4)</w:t>
      </w:r>
    </w:p>
    <w:p>
      <w:pPr>
        <w:pStyle w:val="Heading2"/>
        <w:spacing w:before="200" w:after="100"/>
        <w:outlineLvl w:val="1"/>
      </w:pPr>
      <w:r>
        <w:t xml:space="preserve">5.1 Pipeline Architecture</w:t>
      </w:r>
    </w:p>
    <w:p>
      <w:pPr>
        <w:spacing w:line="360" w:after="100"/>
      </w:pPr>
      <w:r>
        <w:t xml:space="preserve">Medallion model (Bronze → Silver → Gold) deployed in dedicated ws-billing workspace.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Layer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Table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Source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Refresh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Transformations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Bronze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raw_fabric_cu_usage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Fabric Metrics API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Daily 01:00 UTC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None (raw ingestion)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Bronze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raw_dbu_usage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Databricks system.billing.*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Daily 01:30 UTC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None (raw ingestion)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Silver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billing_enriched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raw_* tables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Daily 02:00 UTC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Tag parsing, cost lookup, sector mapping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Gold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sector_monthly_costs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billing_enriched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Monthly 04:00 UTC on 2nd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Aggregation, shared cost allocation</w:t>
            </w:r>
          </w:p>
        </w:tc>
      </w:tr>
    </w:tbl>
    <w:p>
      <w:pPr>
        <w:spacing w:after="200"/>
      </w:pPr>
    </w:p>
    <w:p>
      <w:pPr>
        <w:pStyle w:val="Heading2"/>
        <w:spacing w:before="200" w:after="100"/>
        <w:outlineLvl w:val="1"/>
      </w:pPr>
      <w:r>
        <w:t xml:space="preserve">5.2 Orchestration</w:t>
      </w:r>
    </w:p>
    <w:p>
      <w:pPr>
        <w:spacing w:line="360" w:after="100"/>
      </w:pPr>
      <w:r>
        <w:t xml:space="preserve">Fabric Data Pipelines schedule:</w:t>
      </w:r>
    </w:p>
    <w:p>
      <w:pPr>
        <w:pStyle w:val="ListParagraph"/>
        <w:numPr>
          <w:ilvl w:val="0"/>
          <w:numId w:val="1"/>
        </w:numPr>
        <w:spacing w:line="360"/>
      </w:pPr>
      <w:r>
        <w:t xml:space="preserve">00:30 UTC — Daily Ingest (pull Fabric Metrics API + Databricks system tables)</w:t>
      </w:r>
    </w:p>
    <w:p>
      <w:pPr>
        <w:pStyle w:val="ListParagraph"/>
        <w:numPr>
          <w:ilvl w:val="0"/>
          <w:numId w:val="1"/>
        </w:numPr>
        <w:spacing w:line="360"/>
      </w:pPr>
      <w:r>
        <w:t xml:space="preserve">02:00 UTC — Daily Enrichment (parse tags, enrich with cost center metadata)</w:t>
      </w:r>
    </w:p>
    <w:p>
      <w:pPr>
        <w:pStyle w:val="ListParagraph"/>
        <w:numPr>
          <w:ilvl w:val="0"/>
          <w:numId w:val="1"/>
        </w:numPr>
        <w:spacing w:line="360"/>
      </w:pPr>
      <w:r>
        <w:t xml:space="preserve">03:00 UTC — Daily Reporting (refresh Power BI dataset for daily cost tracking)</w:t>
      </w:r>
    </w:p>
    <w:p>
      <w:pPr>
        <w:pStyle w:val="ListParagraph"/>
        <w:numPr>
          <w:ilvl w:val="0"/>
          <w:numId w:val="1"/>
        </w:numPr>
        <w:spacing w:line="360" w:after="200"/>
      </w:pPr>
      <w:r>
        <w:t xml:space="preserve">04:00 UTC (2nd of month) — Monthly Closure (compute monthly summaries, finalize allocated costs)</w:t>
      </w:r>
    </w:p>
    <w:p>
      <w:pPr>
        <w:pStyle w:val="Heading1"/>
        <w:spacing w:before="400" w:after="200"/>
        <w:outlineLvl w:val="0"/>
      </w:pPr>
      <w:r>
        <w:t xml:space="preserve">6. Azure Cost Management Integration (Layer 5)</w:t>
      </w:r>
    </w:p>
    <w:p>
      <w:pPr>
        <w:spacing w:line="360" w:after="100"/>
      </w:pPr>
      <w:r>
        <w:t xml:space="preserve">Tag propagation from Fabric/Databricks to Azure Cost Management. Azure Budgets per sector:</w:t>
      </w:r>
    </w:p>
    <w:p>
      <w:pPr>
        <w:pStyle w:val="ListParagraph"/>
        <w:numPr>
          <w:ilvl w:val="0"/>
          <w:numId w:val="1"/>
        </w:numPr>
        <w:spacing w:line="360"/>
      </w:pPr>
      <w:r>
        <w:t xml:space="preserve">50% threshold: warning alert</w:t>
      </w:r>
    </w:p>
    <w:p>
      <w:pPr>
        <w:pStyle w:val="ListParagraph"/>
        <w:numPr>
          <w:ilvl w:val="0"/>
          <w:numId w:val="1"/>
        </w:numPr>
        <w:spacing w:line="360"/>
      </w:pPr>
      <w:r>
        <w:t xml:space="preserve">80% threshold: escalation to sector steward</w:t>
      </w:r>
    </w:p>
    <w:p>
      <w:pPr>
        <w:pStyle w:val="ListParagraph"/>
        <w:numPr>
          <w:ilvl w:val="0"/>
          <w:numId w:val="1"/>
        </w:numPr>
        <w:spacing w:line="360" w:after="100"/>
      </w:pPr>
      <w:r>
        <w:t xml:space="preserve">100% threshold: budget exceeded alert; review required</w:t>
      </w:r>
    </w:p>
    <w:p>
      <w:pPr>
        <w:spacing w:line="360" w:after="200"/>
      </w:pPr>
      <w:r>
        <w:t xml:space="preserve">Daily cost export to OneLake (ws-billing). Raw_azure_costs table ingested via Azure Cost Management API.</w:t>
      </w:r>
    </w:p>
    <w:p>
      <w:pPr>
        <w:pStyle w:val="Heading1"/>
        <w:spacing w:before="400" w:after="200"/>
        <w:outlineLvl w:val="0"/>
      </w:pPr>
      <w:r>
        <w:t xml:space="preserve">7. Governance &amp; Reporting Cycle</w:t>
      </w:r>
    </w:p>
    <w:p>
      <w:pPr>
        <w:spacing w:line="360" w:after="100"/>
      </w:pPr>
      <w:r>
        <w:t xml:space="preserve">Monthly 5-step governance cycle:</w:t>
      </w:r>
    </w:p>
    <w:p>
      <w:pPr>
        <w:pStyle w:val="ListParagraph"/>
        <w:numPr>
          <w:ilvl w:val="0"/>
          <w:numId w:val="1"/>
        </w:numPr>
        <w:spacing w:line="360"/>
      </w:pPr>
      <w:r>
        <w:t xml:space="preserve">Days 1-2: Ingest &amp; Enrich — Fabric pipelines pull raw cost data, apply sector/domain mappings, enrich with Purview metadata</w:t>
      </w:r>
    </w:p>
    <w:p>
      <w:pPr>
        <w:pStyle w:val="ListParagraph"/>
        <w:numPr>
          <w:ilvl w:val="0"/>
          <w:numId w:val="1"/>
        </w:numPr>
        <w:spacing w:line="360"/>
      </w:pPr>
      <w:r>
        <w:t xml:space="preserve">Days 3-5: Validation — Data stewards verify tag completeness, reconcile invoices from Fabric/Databricks/Azure, flag anomalies (cost spikes, untagged workloads)</w:t>
      </w:r>
    </w:p>
    <w:p>
      <w:pPr>
        <w:pStyle w:val="ListParagraph"/>
        <w:numPr>
          <w:ilvl w:val="0"/>
          <w:numId w:val="1"/>
        </w:numPr>
        <w:spacing w:line="360"/>
      </w:pPr>
      <w:r>
        <w:t xml:space="preserve">Days 5-7: Remediation — Re-tag untagged resources, validate missing cost_center assignments, re-run enrichment pipeline</w:t>
      </w:r>
    </w:p>
    <w:p>
      <w:pPr>
        <w:pStyle w:val="ListParagraph"/>
        <w:numPr>
          <w:ilvl w:val="0"/>
          <w:numId w:val="1"/>
        </w:numPr>
        <w:spacing w:line="360"/>
      </w:pPr>
      <w:r>
        <w:t xml:space="preserve">Day 8: Finance Approval — Cost report signed off by CFO / Finance Business Partner</w:t>
      </w:r>
    </w:p>
    <w:p>
      <w:pPr>
        <w:pStyle w:val="ListParagraph"/>
        <w:numPr>
          <w:ilvl w:val="0"/>
          <w:numId w:val="1"/>
        </w:numPr>
        <w:spacing w:line="360" w:after="100"/>
      </w:pPr>
      <w:r>
        <w:t xml:space="preserve">Days 10-15: Invoicing — Sector chargebacks issued; invoices archived in w-billing for audit trail</w:t>
      </w:r>
    </w:p>
    <w:p>
      <w:pPr>
        <w:spacing w:line="360" w:after="100"/>
      </w:pPr>
      <w:r>
        <w:t xml:space="preserve">Tagging compliance target: ≥98%. Power BI dashboard KPIs:</w:t>
      </w:r>
    </w:p>
    <w:p>
      <w:pPr>
        <w:pStyle w:val="ListParagraph"/>
        <w:numPr>
          <w:ilvl w:val="0"/>
          <w:numId w:val="1"/>
        </w:numPr>
        <w:spacing w:line="360"/>
      </w:pPr>
      <w:r>
        <w:t xml:space="preserve">Monthly sector costs by category</w:t>
      </w:r>
    </w:p>
    <w:p>
      <w:pPr>
        <w:pStyle w:val="ListParagraph"/>
        <w:numPr>
          <w:ilvl w:val="0"/>
          <w:numId w:val="1"/>
        </w:numPr>
        <w:spacing w:line="360"/>
      </w:pPr>
      <w:r>
        <w:t xml:space="preserve">Cost trends (YoY, MoM)</w:t>
      </w:r>
    </w:p>
    <w:p>
      <w:pPr>
        <w:pStyle w:val="ListParagraph"/>
        <w:numPr>
          <w:ilvl w:val="0"/>
          <w:numId w:val="1"/>
        </w:numPr>
        <w:spacing w:line="360"/>
      </w:pPr>
      <w:r>
        <w:t xml:space="preserve">Untagged resource inventory</w:t>
      </w:r>
    </w:p>
    <w:p>
      <w:pPr>
        <w:pStyle w:val="ListParagraph"/>
        <w:numPr>
          <w:ilvl w:val="0"/>
          <w:numId w:val="1"/>
        </w:numPr>
        <w:spacing w:line="360" w:after="200"/>
      </w:pPr>
      <w:r>
        <w:t xml:space="preserve">Allocation variance (forecast vs actual)</w:t>
      </w:r>
    </w:p>
    <w:p>
      <w:pPr>
        <w:pStyle w:val="Heading1"/>
        <w:spacing w:before="400" w:after="200"/>
        <w:outlineLvl w:val="0"/>
      </w:pPr>
      <w:r>
        <w:t xml:space="preserve">8. Implementation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Decision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Approach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Rationale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Complexity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Cost Attribution Model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Dual-layer: Fabric CU + Databricks DBU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Reflects hybrid consumption; accurate chargeback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Medium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Shared Cost Pool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Weighted composite key (60/30/10)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Fair proportional allocation across sectors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Medium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Tagging Governance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Mandatory sector/domain/environment/cost_center; cluster policies enforce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Prevents untagged costs; full audit trail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Low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Billing Pipeline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Medallion (Bronze/Silver/Gold) in ws-billing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Scalable, auditable, easy to troubleshoot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Low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Monthly Governance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5-step validation→remediation→approval→invoicing cycle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Ensures accuracy, compliance, on-time invoicing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Medium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Reporting &amp; Transparency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Power BI dashboard + OneLake audit trail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Sector stewards self-serve visibility; CFO compliance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Low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External Validation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Azure Cost Management tagging + daily reconciliation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Detects cost drift; integrates with enterprise Finance</w:t>
            </w:r>
          </w:p>
        </w:tc>
        <w:tc>
          <w:tcPr>
            <w:tcBorders>
              <w:top w:val="single" w:color="CCCCCC"/>
              <w:left w:val="single" w:color="CCCCCC"/>
              <w:bottom w:val="single" w:color="CCCCCC"/>
              <w:right w:val="single" w:color="CCCCCC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Low</w:t>
            </w:r>
          </w:p>
        </w:tc>
      </w:tr>
    </w:tbl>
    <w:p>
      <w:pPr>
        <w:spacing w:before="400"/>
        <w:jc w:val="left"/>
      </w:pPr>
      <w:r>
        <w:t xml:space="preserve">Document prepared by the Modern Data Platform team, Data &amp; AI Solutions, Greenfield.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2026-03-06T05:34:52.530Z</dcterms:created>
  <dcterms:modified xsi:type="dcterms:W3CDTF">2026-03-06T05:34:52.530Z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