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29FB" w14:textId="77777777" w:rsidR="008E0159" w:rsidRDefault="00000000">
      <w:r>
        <w:rPr>
          <w:b/>
          <w:color w:val="0B345F"/>
          <w:sz w:val="48"/>
        </w:rPr>
        <w:t>Greenfield Modern Data Platform</w:t>
      </w:r>
      <w:r>
        <w:rPr>
          <w:b/>
          <w:color w:val="0B345F"/>
          <w:sz w:val="48"/>
        </w:rPr>
        <w:br/>
        <w:t>IKC-Primary Alternative</w:t>
      </w:r>
    </w:p>
    <w:p w14:paraId="6CC77D4A" w14:textId="77777777" w:rsidR="008E0159" w:rsidRDefault="00000000">
      <w:pPr>
        <w:spacing w:after="80"/>
      </w:pPr>
      <w:r>
        <w:rPr>
          <w:sz w:val="20"/>
        </w:rPr>
        <w:t>Document Type: Architecture Alternative Proposal</w:t>
      </w:r>
    </w:p>
    <w:p w14:paraId="3C1E6A6E" w14:textId="77777777" w:rsidR="008E0159" w:rsidRDefault="00000000">
      <w:pPr>
        <w:spacing w:after="80"/>
      </w:pPr>
      <w:r>
        <w:rPr>
          <w:sz w:val="20"/>
        </w:rPr>
        <w:t>Scope: Governance and catalog operating model (Databricks-primary architecture context)</w:t>
      </w:r>
    </w:p>
    <w:p w14:paraId="75E5E309" w14:textId="77777777" w:rsidR="008E0159" w:rsidRDefault="00000000">
      <w:pPr>
        <w:spacing w:after="80"/>
      </w:pPr>
      <w:r>
        <w:rPr>
          <w:sz w:val="20"/>
        </w:rPr>
        <w:t>Classification: Internal - Confidential</w:t>
      </w:r>
    </w:p>
    <w:p w14:paraId="0F43D1C0" w14:textId="77777777" w:rsidR="008E0159" w:rsidRDefault="00000000">
      <w:pPr>
        <w:spacing w:after="80"/>
      </w:pPr>
      <w:r>
        <w:rPr>
          <w:sz w:val="20"/>
        </w:rPr>
        <w:t>Status: Draft for Architecture Board Review</w:t>
      </w:r>
    </w:p>
    <w:p w14:paraId="37D2616E" w14:textId="77777777" w:rsidR="008E0159" w:rsidRDefault="00000000">
      <w:pPr>
        <w:spacing w:after="80"/>
      </w:pPr>
      <w:r>
        <w:rPr>
          <w:sz w:val="20"/>
        </w:rPr>
        <w:t>Date: March 4, 2026</w:t>
      </w:r>
    </w:p>
    <w:p w14:paraId="1CF09905" w14:textId="77777777" w:rsidR="008E0159" w:rsidRDefault="00000000">
      <w:pPr>
        <w:spacing w:after="80"/>
      </w:pPr>
      <w:r>
        <w:rPr>
          <w:sz w:val="20"/>
        </w:rPr>
        <w:t>Prepared For: VP, Chief Data Officer - Data &amp; AI Solutions</w:t>
      </w:r>
    </w:p>
    <w:p w14:paraId="552B2969" w14:textId="77777777" w:rsidR="008E0159" w:rsidRDefault="008E0159"/>
    <w:p w14:paraId="73E07DC1" w14:textId="77777777" w:rsidR="008E0159" w:rsidRDefault="00000000">
      <w:pPr>
        <w:spacing w:before="200" w:after="120"/>
      </w:pPr>
      <w:r>
        <w:rPr>
          <w:b/>
          <w:color w:val="0B345F"/>
          <w:sz w:val="32"/>
        </w:rPr>
        <w:t>1. Executive Summary</w:t>
      </w:r>
    </w:p>
    <w:p w14:paraId="06454270" w14:textId="77777777" w:rsidR="008E0159" w:rsidRDefault="00000000">
      <w:pPr>
        <w:spacing w:after="80"/>
      </w:pPr>
      <w:r>
        <w:t>This document proposes an alternative governance architecture where IBM Knowledge Catalog (IKC) becomes the main enterprise catalog for Greenfield, replacing the current Purview-primary governance model described in the Databricks-primary reference architecture.</w:t>
      </w:r>
    </w:p>
    <w:p w14:paraId="2A1276C4" w14:textId="77777777" w:rsidR="008E0159" w:rsidRDefault="00000000">
      <w:pPr>
        <w:spacing w:after="80"/>
      </w:pPr>
      <w:r>
        <w:t>The proposal keeps platform boundaries unchanged:</w:t>
      </w:r>
    </w:p>
    <w:p w14:paraId="2162F9E6" w14:textId="77777777" w:rsidR="008E0159" w:rsidRDefault="00000000">
      <w:pPr>
        <w:pStyle w:val="Listepuces"/>
        <w:spacing w:after="40"/>
      </w:pPr>
      <w:r>
        <w:t>Databricks remains the primary platform for data engineering, warehousing, and AI/ML.</w:t>
      </w:r>
    </w:p>
    <w:p w14:paraId="6D19A4F9" w14:textId="77777777" w:rsidR="008E0159" w:rsidRDefault="00000000">
      <w:pPr>
        <w:pStyle w:val="Listepuces"/>
        <w:spacing w:after="40"/>
      </w:pPr>
      <w:r>
        <w:t>Microsoft Fabric remains scoped as the BI serving layer.</w:t>
      </w:r>
    </w:p>
    <w:p w14:paraId="0BDADC0C" w14:textId="77777777" w:rsidR="008E0159" w:rsidRDefault="00000000">
      <w:pPr>
        <w:pStyle w:val="Listepuces"/>
        <w:spacing w:after="40"/>
      </w:pPr>
      <w:r>
        <w:t>SAS Viya Compute Server remains for regulated actuarial and risk analytics.</w:t>
      </w:r>
    </w:p>
    <w:p w14:paraId="663867F0" w14:textId="77777777" w:rsidR="008E0159" w:rsidRDefault="00000000">
      <w:pPr>
        <w:spacing w:after="80"/>
      </w:pPr>
      <w:r>
        <w:t>The material change is governance authority:</w:t>
      </w:r>
    </w:p>
    <w:p w14:paraId="1CF84924" w14:textId="77777777" w:rsidR="008E0159" w:rsidRDefault="00000000">
      <w:pPr>
        <w:pStyle w:val="Listepuces"/>
        <w:spacing w:after="40"/>
      </w:pPr>
      <w:r>
        <w:t>IKC becomes the authoritative system of record for glossary, classification, stewardship workflows, governance policy metadata, and data product certification metadata.</w:t>
      </w:r>
    </w:p>
    <w:p w14:paraId="7C1AB394" w14:textId="77777777" w:rsidR="008E0159" w:rsidRDefault="00000000">
      <w:pPr>
        <w:pStyle w:val="Listepuces"/>
        <w:spacing w:after="40"/>
      </w:pPr>
      <w:r>
        <w:t>Unity Catalog remains the runtime enforcement layer for data-level controls in Databricks.</w:t>
      </w:r>
    </w:p>
    <w:p w14:paraId="27683C3D" w14:textId="77777777" w:rsidR="008E0159" w:rsidRDefault="00000000">
      <w:pPr>
        <w:pStyle w:val="Listepuces"/>
        <w:spacing w:after="40"/>
      </w:pPr>
      <w:r>
        <w:t>Manta remains the cross-platform lineage engine.</w:t>
      </w:r>
    </w:p>
    <w:p w14:paraId="64DBB338" w14:textId="77777777" w:rsidR="008E0159" w:rsidRDefault="00000000">
      <w:pPr>
        <w:pStyle w:val="Listepuces"/>
        <w:spacing w:after="40"/>
      </w:pPr>
      <w:r>
        <w:t>Purview is repositioned to auxiliary integration use cases and no longer acts as governance source of truth.</w:t>
      </w:r>
    </w:p>
    <w:p w14:paraId="5B775AFC" w14:textId="77777777" w:rsidR="008E0159" w:rsidRDefault="00000000">
      <w:pPr>
        <w:spacing w:before="200" w:after="120"/>
      </w:pPr>
      <w:r>
        <w:rPr>
          <w:b/>
          <w:color w:val="0B345F"/>
          <w:sz w:val="32"/>
        </w:rPr>
        <w:t>2. Baseline vs Alternative - Architectural Positioning</w:t>
      </w:r>
    </w:p>
    <w:p w14:paraId="0CEA681E" w14:textId="77777777" w:rsidR="008E0159" w:rsidRDefault="00000000">
      <w:pPr>
        <w:spacing w:before="160" w:after="80"/>
      </w:pPr>
      <w:r>
        <w:rPr>
          <w:b/>
          <w:color w:val="0B345F"/>
          <w:sz w:val="26"/>
        </w:rPr>
        <w:t>2.1 Baseline in Current Documents</w:t>
      </w:r>
    </w:p>
    <w:p w14:paraId="17A8EFF6" w14:textId="77777777" w:rsidR="008E0159" w:rsidRDefault="00000000">
      <w:pPr>
        <w:spacing w:after="80"/>
      </w:pPr>
      <w:r>
        <w:t>The current documents define a three-tier model: Purview as enterprise governance plane, Unity Catalog as technical enforcement plane, and Manta as cross-platform lineage engine. They also plan decommissioning IKC glossary/classification capabilities.</w:t>
      </w:r>
    </w:p>
    <w:p w14:paraId="470A7886" w14:textId="77777777" w:rsidR="008E0159" w:rsidRDefault="00000000">
      <w:pPr>
        <w:spacing w:before="160" w:after="80"/>
      </w:pPr>
      <w:r>
        <w:rPr>
          <w:b/>
          <w:color w:val="0B345F"/>
          <w:sz w:val="26"/>
        </w:rPr>
        <w:t>2.2 IKC-Primary Alternative</w:t>
      </w:r>
    </w:p>
    <w:p w14:paraId="77BE8372" w14:textId="77777777" w:rsidR="008E0159" w:rsidRDefault="00000000">
      <w:pPr>
        <w:spacing w:after="80"/>
      </w:pPr>
      <w:r>
        <w:t>The three-tier model remains, but governance authority is reassigned:</w:t>
      </w:r>
    </w:p>
    <w:p w14:paraId="62C5934A" w14:textId="77777777" w:rsidR="008E0159" w:rsidRDefault="00000000">
      <w:pPr>
        <w:pStyle w:val="Listepuces"/>
        <w:spacing w:after="40"/>
      </w:pPr>
      <w:r>
        <w:t>Tier 1: IKC as enterprise governance authority.</w:t>
      </w:r>
    </w:p>
    <w:p w14:paraId="50B066DB" w14:textId="77777777" w:rsidR="008E0159" w:rsidRDefault="00000000">
      <w:pPr>
        <w:pStyle w:val="Listepuces"/>
        <w:spacing w:after="40"/>
      </w:pPr>
      <w:r>
        <w:t>Tier 2: Unity Catalog as runtime technical enforcement (RLS/CLS/DDM and grants).</w:t>
      </w:r>
    </w:p>
    <w:p w14:paraId="1A66CBC2" w14:textId="77777777" w:rsidR="008E0159" w:rsidRDefault="00000000">
      <w:pPr>
        <w:pStyle w:val="Listepuces"/>
        <w:spacing w:after="40"/>
      </w:pPr>
      <w:r>
        <w:t>Tier 3: Manta as cross-platform lineage for Databricks, ADF, Fabric, and SAS.</w:t>
      </w:r>
    </w:p>
    <w:p w14:paraId="74A3900A" w14:textId="77777777" w:rsidR="008E0159" w:rsidRDefault="00000000">
      <w:pPr>
        <w:spacing w:after="80"/>
      </w:pPr>
      <w:r>
        <w:lastRenderedPageBreak/>
        <w:t>Control principle: IKC defines governance intent; Unity Catalog enforces runtime access in Databricks; Manta provides end-to-end technical lineage evidence.</w:t>
      </w:r>
    </w:p>
    <w:p w14:paraId="41D9C32C" w14:textId="77777777" w:rsidR="008E0159" w:rsidRDefault="00000000">
      <w:pPr>
        <w:spacing w:before="200" w:after="120"/>
      </w:pPr>
      <w:r>
        <w:rPr>
          <w:b/>
          <w:color w:val="0B345F"/>
          <w:sz w:val="32"/>
        </w:rPr>
        <w:t>3. Side-by-Side Operating Model (Current vs IKC-Primary)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8E0159" w14:paraId="1B57E90D" w14:textId="77777777">
        <w:tc>
          <w:tcPr>
            <w:tcW w:w="3312" w:type="dxa"/>
          </w:tcPr>
          <w:p w14:paraId="5A214C45" w14:textId="77777777" w:rsidR="008E0159" w:rsidRDefault="00000000">
            <w:r>
              <w:rPr>
                <w:b/>
              </w:rPr>
              <w:t>Operating Dimension</w:t>
            </w:r>
          </w:p>
        </w:tc>
        <w:tc>
          <w:tcPr>
            <w:tcW w:w="3312" w:type="dxa"/>
          </w:tcPr>
          <w:p w14:paraId="4A77D260" w14:textId="77777777" w:rsidR="008E0159" w:rsidRDefault="00000000">
            <w:r>
              <w:rPr>
                <w:b/>
              </w:rPr>
              <w:t>Current Model (Purview-Primary)</w:t>
            </w:r>
          </w:p>
        </w:tc>
        <w:tc>
          <w:tcPr>
            <w:tcW w:w="3312" w:type="dxa"/>
          </w:tcPr>
          <w:p w14:paraId="71CE8882" w14:textId="77777777" w:rsidR="008E0159" w:rsidRDefault="00000000">
            <w:r>
              <w:rPr>
                <w:b/>
              </w:rPr>
              <w:t>Alternative Model (IKC-Primary)</w:t>
            </w:r>
          </w:p>
        </w:tc>
      </w:tr>
      <w:tr w:rsidR="008E0159" w14:paraId="3575562E" w14:textId="77777777">
        <w:tc>
          <w:tcPr>
            <w:tcW w:w="3312" w:type="dxa"/>
          </w:tcPr>
          <w:p w14:paraId="16945AF0" w14:textId="77777777" w:rsidR="008E0159" w:rsidRDefault="00000000">
            <w:r>
              <w:t>Enterprise catalog authority</w:t>
            </w:r>
          </w:p>
        </w:tc>
        <w:tc>
          <w:tcPr>
            <w:tcW w:w="3312" w:type="dxa"/>
          </w:tcPr>
          <w:p w14:paraId="54715A0A" w14:textId="77777777" w:rsidR="008E0159" w:rsidRDefault="00000000">
            <w:r>
              <w:t>Purview is system of record for glossary, classification, policy metadata, stewardship workflows.</w:t>
            </w:r>
          </w:p>
        </w:tc>
        <w:tc>
          <w:tcPr>
            <w:tcW w:w="3312" w:type="dxa"/>
          </w:tcPr>
          <w:p w14:paraId="1B981BF5" w14:textId="77777777" w:rsidR="008E0159" w:rsidRDefault="00000000">
            <w:r>
              <w:t>IKC is system of record for glossary, classification, policy metadata, stewardship workflows.</w:t>
            </w:r>
          </w:p>
        </w:tc>
      </w:tr>
      <w:tr w:rsidR="008E0159" w14:paraId="4EAAEF71" w14:textId="77777777">
        <w:tc>
          <w:tcPr>
            <w:tcW w:w="3312" w:type="dxa"/>
          </w:tcPr>
          <w:p w14:paraId="7177E3D2" w14:textId="77777777" w:rsidR="008E0159" w:rsidRDefault="00000000">
            <w:r>
              <w:t>Technical enforcement</w:t>
            </w:r>
          </w:p>
        </w:tc>
        <w:tc>
          <w:tcPr>
            <w:tcW w:w="3312" w:type="dxa"/>
          </w:tcPr>
          <w:p w14:paraId="1F6BE993" w14:textId="77777777" w:rsidR="008E0159" w:rsidRDefault="00000000">
            <w:r>
              <w:t>Unity Catalog enforces RLS/CLS/DDM and grants at runtime.</w:t>
            </w:r>
          </w:p>
        </w:tc>
        <w:tc>
          <w:tcPr>
            <w:tcW w:w="3312" w:type="dxa"/>
          </w:tcPr>
          <w:p w14:paraId="09EC70AA" w14:textId="77777777" w:rsidR="008E0159" w:rsidRDefault="00000000">
            <w:r>
              <w:t>No change: Unity Catalog remains runtime enforcement layer.</w:t>
            </w:r>
          </w:p>
        </w:tc>
      </w:tr>
      <w:tr w:rsidR="008E0159" w14:paraId="49027F59" w14:textId="77777777">
        <w:tc>
          <w:tcPr>
            <w:tcW w:w="3312" w:type="dxa"/>
          </w:tcPr>
          <w:p w14:paraId="0EB0990C" w14:textId="77777777" w:rsidR="008E0159" w:rsidRDefault="00000000">
            <w:r>
              <w:t>Cross-platform lineage</w:t>
            </w:r>
          </w:p>
        </w:tc>
        <w:tc>
          <w:tcPr>
            <w:tcW w:w="3312" w:type="dxa"/>
          </w:tcPr>
          <w:p w14:paraId="27EC106B" w14:textId="77777777" w:rsidR="008E0159" w:rsidRDefault="00000000">
            <w:r>
              <w:t>Manta builds lineage graph; published to Purview and technical consumers.</w:t>
            </w:r>
          </w:p>
        </w:tc>
        <w:tc>
          <w:tcPr>
            <w:tcW w:w="3312" w:type="dxa"/>
          </w:tcPr>
          <w:p w14:paraId="263E8F0C" w14:textId="77777777" w:rsidR="008E0159" w:rsidRDefault="00000000">
            <w:r>
              <w:t>No change in core engine: Manta builds lineage graph; published primarily to IKC (optional mirror to Purview/UC).</w:t>
            </w:r>
          </w:p>
        </w:tc>
      </w:tr>
      <w:tr w:rsidR="008E0159" w14:paraId="6034A808" w14:textId="77777777">
        <w:tc>
          <w:tcPr>
            <w:tcW w:w="3312" w:type="dxa"/>
          </w:tcPr>
          <w:p w14:paraId="7FDC57D0" w14:textId="77777777" w:rsidR="008E0159" w:rsidRDefault="00000000">
            <w:r>
              <w:t>Data quality Tier 1 (pre-Bronze)</w:t>
            </w:r>
          </w:p>
        </w:tc>
        <w:tc>
          <w:tcPr>
            <w:tcW w:w="3312" w:type="dxa"/>
          </w:tcPr>
          <w:p w14:paraId="4321C8A3" w14:textId="77777777" w:rsidR="008E0159" w:rsidRDefault="00000000">
            <w:r>
              <w:t>Purview DQ sampling for ingestion-level checks.</w:t>
            </w:r>
          </w:p>
        </w:tc>
        <w:tc>
          <w:tcPr>
            <w:tcW w:w="3312" w:type="dxa"/>
          </w:tcPr>
          <w:p w14:paraId="021AFBA5" w14:textId="77777777" w:rsidR="008E0159" w:rsidRDefault="00000000">
            <w:r>
              <w:t>IKC DQ profiling/rules become Tier 1 ingestion governance checkpoint.</w:t>
            </w:r>
          </w:p>
        </w:tc>
      </w:tr>
      <w:tr w:rsidR="008E0159" w14:paraId="62EA71AE" w14:textId="77777777">
        <w:tc>
          <w:tcPr>
            <w:tcW w:w="3312" w:type="dxa"/>
          </w:tcPr>
          <w:p w14:paraId="5F1F1280" w14:textId="77777777" w:rsidR="008E0159" w:rsidRDefault="00000000">
            <w:r>
              <w:t>Data quality Tier 2/3</w:t>
            </w:r>
          </w:p>
        </w:tc>
        <w:tc>
          <w:tcPr>
            <w:tcW w:w="3312" w:type="dxa"/>
          </w:tcPr>
          <w:p w14:paraId="46158FF1" w14:textId="77777777" w:rsidR="008E0159" w:rsidRDefault="00000000">
            <w:r>
              <w:t>DLT + Great Expectations at transitions; Gold certification checks.</w:t>
            </w:r>
          </w:p>
        </w:tc>
        <w:tc>
          <w:tcPr>
            <w:tcW w:w="3312" w:type="dxa"/>
          </w:tcPr>
          <w:p w14:paraId="443FE96A" w14:textId="77777777" w:rsidR="008E0159" w:rsidRDefault="00000000">
            <w:r>
              <w:t>No change in engines; certification metadata and scorecards owned in IKC.</w:t>
            </w:r>
          </w:p>
        </w:tc>
      </w:tr>
      <w:tr w:rsidR="008E0159" w14:paraId="036FFDCE" w14:textId="77777777">
        <w:tc>
          <w:tcPr>
            <w:tcW w:w="3312" w:type="dxa"/>
          </w:tcPr>
          <w:p w14:paraId="571808CF" w14:textId="77777777" w:rsidR="008E0159" w:rsidRDefault="00000000">
            <w:r>
              <w:t>Classification propagation</w:t>
            </w:r>
          </w:p>
        </w:tc>
        <w:tc>
          <w:tcPr>
            <w:tcW w:w="3312" w:type="dxa"/>
          </w:tcPr>
          <w:p w14:paraId="5016DCEB" w14:textId="77777777" w:rsidR="008E0159" w:rsidRDefault="00000000">
            <w:r>
              <w:t>Purview labels/tags propagate to Unity Catalog policy tags.</w:t>
            </w:r>
          </w:p>
        </w:tc>
        <w:tc>
          <w:tcPr>
            <w:tcW w:w="3312" w:type="dxa"/>
          </w:tcPr>
          <w:p w14:paraId="1825F68B" w14:textId="77777777" w:rsidR="008E0159" w:rsidRDefault="00000000">
            <w:r>
              <w:t>IKC classifications map to Unity Catalog tags/policies through integration pipeline.</w:t>
            </w:r>
          </w:p>
        </w:tc>
      </w:tr>
      <w:tr w:rsidR="008E0159" w14:paraId="43A4A532" w14:textId="77777777">
        <w:tc>
          <w:tcPr>
            <w:tcW w:w="3312" w:type="dxa"/>
          </w:tcPr>
          <w:p w14:paraId="7A686A00" w14:textId="77777777" w:rsidR="008E0159" w:rsidRDefault="00000000">
            <w:r>
              <w:t>Stewardship operating model</w:t>
            </w:r>
          </w:p>
        </w:tc>
        <w:tc>
          <w:tcPr>
            <w:tcW w:w="3312" w:type="dxa"/>
          </w:tcPr>
          <w:p w14:paraId="12B77B9D" w14:textId="77777777" w:rsidR="008E0159" w:rsidRDefault="00000000">
            <w:r>
              <w:t>Stewards operate in Purview.</w:t>
            </w:r>
          </w:p>
        </w:tc>
        <w:tc>
          <w:tcPr>
            <w:tcW w:w="3312" w:type="dxa"/>
          </w:tcPr>
          <w:p w14:paraId="240DE205" w14:textId="77777777" w:rsidR="008E0159" w:rsidRDefault="00000000">
            <w:r>
              <w:t>Stewards operate in IKC.</w:t>
            </w:r>
          </w:p>
        </w:tc>
      </w:tr>
      <w:tr w:rsidR="008E0159" w14:paraId="27D134A4" w14:textId="77777777">
        <w:tc>
          <w:tcPr>
            <w:tcW w:w="3312" w:type="dxa"/>
          </w:tcPr>
          <w:p w14:paraId="1E623EAA" w14:textId="77777777" w:rsidR="008E0159" w:rsidRDefault="00000000">
            <w:r>
              <w:t>Fabric semantic alignment</w:t>
            </w:r>
          </w:p>
        </w:tc>
        <w:tc>
          <w:tcPr>
            <w:tcW w:w="3312" w:type="dxa"/>
          </w:tcPr>
          <w:p w14:paraId="3A0ACEE2" w14:textId="77777777" w:rsidR="008E0159" w:rsidRDefault="00000000">
            <w:r>
              <w:t>Purview glossary aligns with Fabric semantics and Power BI governance.</w:t>
            </w:r>
          </w:p>
        </w:tc>
        <w:tc>
          <w:tcPr>
            <w:tcW w:w="3312" w:type="dxa"/>
          </w:tcPr>
          <w:p w14:paraId="4BAF86BF" w14:textId="77777777" w:rsidR="008E0159" w:rsidRDefault="00000000">
            <w:r>
              <w:t>IKC glossary is authoritative; controlled synchronization to Fabric/Purview views if required.</w:t>
            </w:r>
          </w:p>
        </w:tc>
      </w:tr>
      <w:tr w:rsidR="008E0159" w14:paraId="5F944219" w14:textId="77777777">
        <w:tc>
          <w:tcPr>
            <w:tcW w:w="3312" w:type="dxa"/>
          </w:tcPr>
          <w:p w14:paraId="1FDD3698" w14:textId="77777777" w:rsidR="008E0159" w:rsidRDefault="00000000">
            <w:r>
              <w:t>Regulatory evidence packs</w:t>
            </w:r>
          </w:p>
        </w:tc>
        <w:tc>
          <w:tcPr>
            <w:tcW w:w="3312" w:type="dxa"/>
          </w:tcPr>
          <w:p w14:paraId="048435D8" w14:textId="77777777" w:rsidR="008E0159" w:rsidRDefault="00000000">
            <w:r>
              <w:t>Evidence assembled from Purview + Unity Catalog + Manta.</w:t>
            </w:r>
          </w:p>
        </w:tc>
        <w:tc>
          <w:tcPr>
            <w:tcW w:w="3312" w:type="dxa"/>
          </w:tcPr>
          <w:p w14:paraId="5F126407" w14:textId="77777777" w:rsidR="008E0159" w:rsidRDefault="00000000">
            <w:r>
              <w:t>Evidence assembled from IKC + Unity Catalog + Manta.</w:t>
            </w:r>
          </w:p>
        </w:tc>
      </w:tr>
      <w:tr w:rsidR="008E0159" w14:paraId="23CC0DB7" w14:textId="77777777">
        <w:tc>
          <w:tcPr>
            <w:tcW w:w="3312" w:type="dxa"/>
          </w:tcPr>
          <w:p w14:paraId="55B8A5F4" w14:textId="77777777" w:rsidR="008E0159" w:rsidRDefault="00000000">
            <w:r>
              <w:t>Platform operations footprint</w:t>
            </w:r>
          </w:p>
        </w:tc>
        <w:tc>
          <w:tcPr>
            <w:tcW w:w="3312" w:type="dxa"/>
          </w:tcPr>
          <w:p w14:paraId="27C3588F" w14:textId="77777777" w:rsidR="008E0159" w:rsidRDefault="00000000">
            <w:r>
              <w:t>Azure-native governance stack focus; reduced IBM footprint.</w:t>
            </w:r>
          </w:p>
        </w:tc>
        <w:tc>
          <w:tcPr>
            <w:tcW w:w="3312" w:type="dxa"/>
          </w:tcPr>
          <w:p w14:paraId="0C293467" w14:textId="77777777" w:rsidR="008E0159" w:rsidRDefault="00000000">
            <w:r>
              <w:t>Increased IBM governance footprint and integration overhead.</w:t>
            </w:r>
          </w:p>
        </w:tc>
      </w:tr>
      <w:tr w:rsidR="008E0159" w14:paraId="12F8A13D" w14:textId="77777777">
        <w:tc>
          <w:tcPr>
            <w:tcW w:w="3312" w:type="dxa"/>
          </w:tcPr>
          <w:p w14:paraId="6636E518" w14:textId="77777777" w:rsidR="008E0159" w:rsidRDefault="00000000">
            <w:r>
              <w:t>Cost profile</w:t>
            </w:r>
          </w:p>
        </w:tc>
        <w:tc>
          <w:tcPr>
            <w:tcW w:w="3312" w:type="dxa"/>
          </w:tcPr>
          <w:p w14:paraId="62FFABB9" w14:textId="77777777" w:rsidR="008E0159" w:rsidRDefault="00000000">
            <w:r>
              <w:t>Lower governance stack complexity and fewer integration points.</w:t>
            </w:r>
          </w:p>
        </w:tc>
        <w:tc>
          <w:tcPr>
            <w:tcW w:w="3312" w:type="dxa"/>
          </w:tcPr>
          <w:p w14:paraId="056BC887" w14:textId="77777777" w:rsidR="008E0159" w:rsidRDefault="00000000">
            <w:r>
              <w:t>Potentially higher licensing/operations cost; offset depends on IBM enterprise agreements.</w:t>
            </w:r>
          </w:p>
        </w:tc>
      </w:tr>
    </w:tbl>
    <w:p w14:paraId="1E2637D9" w14:textId="77777777" w:rsidR="00ED00DD" w:rsidRDefault="00ED00DD" w:rsidP="00ED00DD">
      <w:pPr>
        <w:spacing w:after="80"/>
      </w:pPr>
    </w:p>
    <w:p w14:paraId="3B394B10" w14:textId="516B7D79" w:rsidR="00ED00DD" w:rsidRDefault="00ED00DD" w:rsidP="00ED00DD">
      <w:r>
        <w:rPr>
          <w:b/>
          <w:color w:val="0B345F"/>
          <w:sz w:val="32"/>
        </w:rPr>
        <w:t>4</w:t>
      </w:r>
      <w:r>
        <w:rPr>
          <w:b/>
          <w:color w:val="0B345F"/>
          <w:sz w:val="32"/>
        </w:rPr>
        <w:t>. Comparative Scenario Analysis: Purview-Primary vs IKC-Primary</w:t>
      </w:r>
    </w:p>
    <w:p w14:paraId="20016661" w14:textId="77777777" w:rsidR="00ED00DD" w:rsidRDefault="00ED00DD" w:rsidP="00ED00DD">
      <w:pPr>
        <w:spacing w:after="120"/>
      </w:pPr>
      <w:r>
        <w:t xml:space="preserve">In a Purview-primary scenario, Greenfield benefits from tighter Azure-native integration across Microsoft Fabric, Power BI, Microsoft 365 DLP, and Azure governance services, which typically reduces platform integration effort, simplifies operational ownership for cloud teams, and improves time-to-value for enterprise catalog onboarding; Purview also aligns naturally with Azure landing-zone policy patterns and can reduce architecture friction for Fabric-centric capabilities. The trade-offs are that some advanced, deeply specialized governance workflows may require customization, cross-platform technical lineage depth still depends on </w:t>
      </w:r>
      <w:r>
        <w:lastRenderedPageBreak/>
        <w:t>Manta, and organizations with strong existing IBM governance assets may face migration and change-management overhead when rehoming glossary and stewardship processes.</w:t>
      </w:r>
    </w:p>
    <w:p w14:paraId="70C1483D" w14:textId="77777777" w:rsidR="00ED00DD" w:rsidRDefault="00ED00DD" w:rsidP="00ED00DD">
      <w:pPr>
        <w:spacing w:after="120"/>
      </w:pPr>
      <w:r>
        <w:t>In an IKC-primary scenario, Greenfield can preserve and extend existing IBM governance investments, centralize glossary/classification/stewardship under one catalog authority familiar to IBM-aligned governance teams, and potentially leverage mature governance workflows for regulated data domains; this can be attractive where enterprise governance processes are already anchored in IKC operating models. The trade-offs are increased architectural and operational complexity in an Azure-first platform, additional integration layers to synchronize IKC policy intent with Unity Catalog runtime enforcement, potentially higher run-cost and licensing overhead depending on Cloud Pak/IKC footprint, and a greater risk of control-latency or drift if synchronization pipelines are not rigorously automated and audited.</w:t>
      </w:r>
    </w:p>
    <w:p w14:paraId="5319C1A2" w14:textId="23B96E9D" w:rsidR="00ED00DD" w:rsidRDefault="00ED00DD" w:rsidP="00ED00DD">
      <w:pPr>
        <w:spacing w:after="120"/>
      </w:pPr>
      <w:r>
        <w:t>Decision implication: Purview-primary generally optimizes platform simplicity and Azure-native delivery velocity, while IKC-primary generally optimizes continuity with IBM governance assets and processes; the preferred target state should be chosen through Architecture Board gate evidence on security integrity, lineage completeness, operating cost, and execution risk rather than tool preference alone.</w:t>
      </w:r>
    </w:p>
    <w:p w14:paraId="41B312AA" w14:textId="600B7CB9" w:rsidR="008E0159" w:rsidRDefault="00ED00DD">
      <w:pPr>
        <w:spacing w:before="200" w:after="120"/>
      </w:pPr>
      <w:r>
        <w:rPr>
          <w:b/>
          <w:color w:val="0B345F"/>
          <w:sz w:val="32"/>
        </w:rPr>
        <w:t>5</w:t>
      </w:r>
      <w:r w:rsidR="00000000">
        <w:rPr>
          <w:b/>
          <w:color w:val="0B345F"/>
          <w:sz w:val="32"/>
        </w:rPr>
        <w:t>. AD Rewrite Proposals (AD-05 / AD-06 / AD-08)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8E0159" w14:paraId="1C092953" w14:textId="77777777">
        <w:tc>
          <w:tcPr>
            <w:tcW w:w="2484" w:type="dxa"/>
          </w:tcPr>
          <w:p w14:paraId="0DDFE132" w14:textId="77777777" w:rsidR="008E0159" w:rsidRDefault="00000000">
            <w:r>
              <w:rPr>
                <w:b/>
              </w:rPr>
              <w:t>AD</w:t>
            </w:r>
          </w:p>
        </w:tc>
        <w:tc>
          <w:tcPr>
            <w:tcW w:w="2484" w:type="dxa"/>
          </w:tcPr>
          <w:p w14:paraId="60CF020B" w14:textId="77777777" w:rsidR="008E0159" w:rsidRDefault="00000000">
            <w:r>
              <w:rPr>
                <w:b/>
              </w:rPr>
              <w:t>Current Decision</w:t>
            </w:r>
          </w:p>
        </w:tc>
        <w:tc>
          <w:tcPr>
            <w:tcW w:w="2484" w:type="dxa"/>
          </w:tcPr>
          <w:p w14:paraId="008E59C2" w14:textId="77777777" w:rsidR="008E0159" w:rsidRDefault="00000000">
            <w:r>
              <w:rPr>
                <w:b/>
              </w:rPr>
              <w:t>Proposed Rewrite (IKC-Primary)</w:t>
            </w:r>
          </w:p>
        </w:tc>
        <w:tc>
          <w:tcPr>
            <w:tcW w:w="2484" w:type="dxa"/>
          </w:tcPr>
          <w:p w14:paraId="70162152" w14:textId="77777777" w:rsidR="008E0159" w:rsidRDefault="00000000">
            <w:r>
              <w:rPr>
                <w:b/>
              </w:rPr>
              <w:t>Rationale and Consequences</w:t>
            </w:r>
          </w:p>
        </w:tc>
      </w:tr>
      <w:tr w:rsidR="008E0159" w14:paraId="58AA6EA8" w14:textId="77777777">
        <w:tc>
          <w:tcPr>
            <w:tcW w:w="2484" w:type="dxa"/>
          </w:tcPr>
          <w:p w14:paraId="26830EA0" w14:textId="77777777" w:rsidR="008E0159" w:rsidRDefault="00000000">
            <w:r>
              <w:t>AD-05</w:t>
            </w:r>
          </w:p>
        </w:tc>
        <w:tc>
          <w:tcPr>
            <w:tcW w:w="2484" w:type="dxa"/>
          </w:tcPr>
          <w:p w14:paraId="0CD4CFD1" w14:textId="77777777" w:rsidR="008E0159" w:rsidRDefault="00000000">
            <w:r>
              <w:t>Three-tier catalog with Purview (enterprise), Unity Catalog (enforcement), Manta (lineage).</w:t>
            </w:r>
          </w:p>
        </w:tc>
        <w:tc>
          <w:tcPr>
            <w:tcW w:w="2484" w:type="dxa"/>
          </w:tcPr>
          <w:p w14:paraId="5B354789" w14:textId="77777777" w:rsidR="008E0159" w:rsidRDefault="00000000">
            <w:r>
              <w:t>Rewritten AD-05: Three-tier catalog with IKC (enterprise governance authority), Unity Catalog (runtime technical enforcement), and Manta (cross-platform lineage).</w:t>
            </w:r>
          </w:p>
        </w:tc>
        <w:tc>
          <w:tcPr>
            <w:tcW w:w="2484" w:type="dxa"/>
          </w:tcPr>
          <w:p w14:paraId="26063EF8" w14:textId="77777777" w:rsidR="008E0159" w:rsidRDefault="00000000">
            <w:r>
              <w:t>Rationale: centralize governance authority in IKC. Consequence: additional IKC-Unity integration layer required for policy and classification propagation.</w:t>
            </w:r>
          </w:p>
        </w:tc>
      </w:tr>
      <w:tr w:rsidR="008E0159" w14:paraId="2E940953" w14:textId="77777777">
        <w:tc>
          <w:tcPr>
            <w:tcW w:w="2484" w:type="dxa"/>
          </w:tcPr>
          <w:p w14:paraId="1D641693" w14:textId="77777777" w:rsidR="008E0159" w:rsidRDefault="00000000">
            <w:r>
              <w:t>AD-06</w:t>
            </w:r>
          </w:p>
        </w:tc>
        <w:tc>
          <w:tcPr>
            <w:tcW w:w="2484" w:type="dxa"/>
          </w:tcPr>
          <w:p w14:paraId="23C2BC54" w14:textId="77777777" w:rsidR="008E0159" w:rsidRDefault="00000000">
            <w:r>
              <w:t>Retire IKC glossary/classification; retain Manta only.</w:t>
            </w:r>
          </w:p>
        </w:tc>
        <w:tc>
          <w:tcPr>
            <w:tcW w:w="2484" w:type="dxa"/>
          </w:tcPr>
          <w:p w14:paraId="00BF9B77" w14:textId="77777777" w:rsidR="008E0159" w:rsidRDefault="00000000">
            <w:r>
              <w:t>Rewritten AD-06: Retain IKC as primary catalog and classification authority; rationalize Purview to auxiliary integrations (M365 DLP and optional mirrored metadata exposure).</w:t>
            </w:r>
          </w:p>
        </w:tc>
        <w:tc>
          <w:tcPr>
            <w:tcW w:w="2484" w:type="dxa"/>
          </w:tcPr>
          <w:p w14:paraId="51BBD981" w14:textId="77777777" w:rsidR="008E0159" w:rsidRDefault="00000000">
            <w:r>
              <w:t>Rationale: preserve IBM governance investment and avoid dual authority. Consequence: higher operational complexity versus Azure-native-only strategy.</w:t>
            </w:r>
          </w:p>
        </w:tc>
      </w:tr>
      <w:tr w:rsidR="008E0159" w14:paraId="15B1CB42" w14:textId="77777777">
        <w:tc>
          <w:tcPr>
            <w:tcW w:w="2484" w:type="dxa"/>
          </w:tcPr>
          <w:p w14:paraId="003683D5" w14:textId="77777777" w:rsidR="008E0159" w:rsidRDefault="00000000">
            <w:r>
              <w:t>AD-08</w:t>
            </w:r>
          </w:p>
        </w:tc>
        <w:tc>
          <w:tcPr>
            <w:tcW w:w="2484" w:type="dxa"/>
          </w:tcPr>
          <w:p w14:paraId="466C2B37" w14:textId="77777777" w:rsidR="008E0159" w:rsidRDefault="00000000">
            <w:r>
              <w:t>Three-tier DQ model with Purview sampling at ingestion, DLT expectations at transitions, SLA checks at Gold.</w:t>
            </w:r>
          </w:p>
        </w:tc>
        <w:tc>
          <w:tcPr>
            <w:tcW w:w="2484" w:type="dxa"/>
          </w:tcPr>
          <w:p w14:paraId="3EC2B699" w14:textId="77777777" w:rsidR="008E0159" w:rsidRDefault="00000000">
            <w:r>
              <w:t>Rewritten AD-08: Three-tier DQ model with IKC DQ/profiling at ingestion governance gate, DLT+Great Expectations at transitions, SLA checks at Gold; unified DQ scorecards published in IKC.</w:t>
            </w:r>
          </w:p>
        </w:tc>
        <w:tc>
          <w:tcPr>
            <w:tcW w:w="2484" w:type="dxa"/>
          </w:tcPr>
          <w:p w14:paraId="4EE3D6BC" w14:textId="77777777" w:rsidR="008E0159" w:rsidRDefault="00000000">
            <w:r>
              <w:t>Rationale: align DQ ownership with IKC-primary governance model. Consequence: ingestion DQ orchestration and dashboard integration rework.</w:t>
            </w:r>
          </w:p>
        </w:tc>
      </w:tr>
    </w:tbl>
    <w:p w14:paraId="60CF5819" w14:textId="77777777" w:rsidR="008E0159" w:rsidRDefault="008E0159"/>
    <w:p w14:paraId="0D73AEF9" w14:textId="660BE295" w:rsidR="008E0159" w:rsidRDefault="00ED00DD">
      <w:pPr>
        <w:spacing w:before="200" w:after="120"/>
      </w:pPr>
      <w:r>
        <w:rPr>
          <w:b/>
          <w:color w:val="0B345F"/>
          <w:sz w:val="32"/>
        </w:rPr>
        <w:t>6</w:t>
      </w:r>
      <w:r w:rsidR="00000000">
        <w:rPr>
          <w:b/>
          <w:color w:val="0B345F"/>
          <w:sz w:val="32"/>
        </w:rPr>
        <w:t>. Decision Gates for the Architecture Board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</w:tblGrid>
      <w:tr w:rsidR="008E0159" w14:paraId="07F8ED3C" w14:textId="77777777">
        <w:tc>
          <w:tcPr>
            <w:tcW w:w="1987" w:type="dxa"/>
          </w:tcPr>
          <w:p w14:paraId="2A0C2B8C" w14:textId="77777777" w:rsidR="008E0159" w:rsidRDefault="00000000">
            <w:r>
              <w:rPr>
                <w:b/>
              </w:rPr>
              <w:lastRenderedPageBreak/>
              <w:t>Gate</w:t>
            </w:r>
          </w:p>
        </w:tc>
        <w:tc>
          <w:tcPr>
            <w:tcW w:w="1987" w:type="dxa"/>
          </w:tcPr>
          <w:p w14:paraId="2FEF7054" w14:textId="77777777" w:rsidR="008E0159" w:rsidRDefault="00000000">
            <w:r>
              <w:rPr>
                <w:b/>
              </w:rPr>
              <w:t>Decision Topic</w:t>
            </w:r>
          </w:p>
        </w:tc>
        <w:tc>
          <w:tcPr>
            <w:tcW w:w="1987" w:type="dxa"/>
          </w:tcPr>
          <w:p w14:paraId="0FB51186" w14:textId="77777777" w:rsidR="008E0159" w:rsidRDefault="00000000">
            <w:r>
              <w:rPr>
                <w:b/>
              </w:rPr>
              <w:t>Entry Criteria</w:t>
            </w:r>
          </w:p>
        </w:tc>
        <w:tc>
          <w:tcPr>
            <w:tcW w:w="1987" w:type="dxa"/>
          </w:tcPr>
          <w:p w14:paraId="306DEE57" w14:textId="77777777" w:rsidR="008E0159" w:rsidRDefault="00000000">
            <w:r>
              <w:rPr>
                <w:b/>
              </w:rPr>
              <w:t>Decision Options</w:t>
            </w:r>
          </w:p>
        </w:tc>
        <w:tc>
          <w:tcPr>
            <w:tcW w:w="1987" w:type="dxa"/>
          </w:tcPr>
          <w:p w14:paraId="045D3CFA" w14:textId="77777777" w:rsidR="008E0159" w:rsidRDefault="00000000">
            <w:r>
              <w:rPr>
                <w:b/>
              </w:rPr>
              <w:t>Mandatory Evidence</w:t>
            </w:r>
          </w:p>
        </w:tc>
      </w:tr>
      <w:tr w:rsidR="008E0159" w14:paraId="13EE109E" w14:textId="77777777">
        <w:tc>
          <w:tcPr>
            <w:tcW w:w="1987" w:type="dxa"/>
          </w:tcPr>
          <w:p w14:paraId="73B1C2ED" w14:textId="77777777" w:rsidR="008E0159" w:rsidRDefault="00000000">
            <w:r>
              <w:t>G1</w:t>
            </w:r>
          </w:p>
        </w:tc>
        <w:tc>
          <w:tcPr>
            <w:tcW w:w="1987" w:type="dxa"/>
          </w:tcPr>
          <w:p w14:paraId="058FFDC8" w14:textId="77777777" w:rsidR="008E0159" w:rsidRDefault="00000000">
            <w:r>
              <w:t>Catalog authority model</w:t>
            </w:r>
          </w:p>
        </w:tc>
        <w:tc>
          <w:tcPr>
            <w:tcW w:w="1987" w:type="dxa"/>
          </w:tcPr>
          <w:p w14:paraId="0007828E" w14:textId="77777777" w:rsidR="008E0159" w:rsidRDefault="00000000">
            <w:r>
              <w:t>Target operating model and governance RACI documented.</w:t>
            </w:r>
          </w:p>
        </w:tc>
        <w:tc>
          <w:tcPr>
            <w:tcW w:w="1987" w:type="dxa"/>
          </w:tcPr>
          <w:p w14:paraId="3B282B19" w14:textId="77777777" w:rsidR="008E0159" w:rsidRDefault="00000000">
            <w:r>
              <w:t>Approve IKC-primary / keep Purview-primary / hybrid transitional.</w:t>
            </w:r>
          </w:p>
        </w:tc>
        <w:tc>
          <w:tcPr>
            <w:tcW w:w="1987" w:type="dxa"/>
          </w:tcPr>
          <w:p w14:paraId="0F0A29B0" w14:textId="77777777" w:rsidR="008E0159" w:rsidRDefault="00000000">
            <w:r>
              <w:t>RACI, support model, TCO comparison.</w:t>
            </w:r>
          </w:p>
        </w:tc>
      </w:tr>
      <w:tr w:rsidR="008E0159" w14:paraId="4A26DC7D" w14:textId="77777777">
        <w:tc>
          <w:tcPr>
            <w:tcW w:w="1987" w:type="dxa"/>
          </w:tcPr>
          <w:p w14:paraId="2F004269" w14:textId="77777777" w:rsidR="008E0159" w:rsidRDefault="00000000">
            <w:r>
              <w:t>G2</w:t>
            </w:r>
          </w:p>
        </w:tc>
        <w:tc>
          <w:tcPr>
            <w:tcW w:w="1987" w:type="dxa"/>
          </w:tcPr>
          <w:p w14:paraId="380074C9" w14:textId="77777777" w:rsidR="008E0159" w:rsidRDefault="00000000">
            <w:r>
              <w:t>Security enforcement integrity</w:t>
            </w:r>
          </w:p>
        </w:tc>
        <w:tc>
          <w:tcPr>
            <w:tcW w:w="1987" w:type="dxa"/>
          </w:tcPr>
          <w:p w14:paraId="048D172B" w14:textId="77777777" w:rsidR="008E0159" w:rsidRDefault="00000000">
            <w:r>
              <w:t>Proof IKC-primary does not bypass Unity Catalog runtime enforcement.</w:t>
            </w:r>
          </w:p>
        </w:tc>
        <w:tc>
          <w:tcPr>
            <w:tcW w:w="1987" w:type="dxa"/>
          </w:tcPr>
          <w:p w14:paraId="33BE7F6C" w14:textId="77777777" w:rsidR="008E0159" w:rsidRDefault="00000000">
            <w:r>
              <w:t>Approve / conditional approval with remediation / reject.</w:t>
            </w:r>
          </w:p>
        </w:tc>
        <w:tc>
          <w:tcPr>
            <w:tcW w:w="1987" w:type="dxa"/>
          </w:tcPr>
          <w:p w14:paraId="2E2B31EB" w14:textId="77777777" w:rsidR="008E0159" w:rsidRDefault="00000000">
            <w:r>
              <w:t>Control test results for RLS/CLS/DDM paths (Databricks, SAS JDBC, BI).</w:t>
            </w:r>
          </w:p>
        </w:tc>
      </w:tr>
      <w:tr w:rsidR="008E0159" w14:paraId="695B57F7" w14:textId="77777777">
        <w:tc>
          <w:tcPr>
            <w:tcW w:w="1987" w:type="dxa"/>
          </w:tcPr>
          <w:p w14:paraId="4FE57243" w14:textId="77777777" w:rsidR="008E0159" w:rsidRDefault="00000000">
            <w:r>
              <w:t>G3</w:t>
            </w:r>
          </w:p>
        </w:tc>
        <w:tc>
          <w:tcPr>
            <w:tcW w:w="1987" w:type="dxa"/>
          </w:tcPr>
          <w:p w14:paraId="305D5FCA" w14:textId="77777777" w:rsidR="008E0159" w:rsidRDefault="00000000">
            <w:r>
              <w:t>Lineage and audit evidence</w:t>
            </w:r>
          </w:p>
        </w:tc>
        <w:tc>
          <w:tcPr>
            <w:tcW w:w="1987" w:type="dxa"/>
          </w:tcPr>
          <w:p w14:paraId="09308DFF" w14:textId="77777777" w:rsidR="008E0159" w:rsidRDefault="00000000">
            <w:r>
              <w:t>Manta-to-IKC lineage publication validated for regulated use cases.</w:t>
            </w:r>
          </w:p>
        </w:tc>
        <w:tc>
          <w:tcPr>
            <w:tcW w:w="1987" w:type="dxa"/>
          </w:tcPr>
          <w:p w14:paraId="26C4194C" w14:textId="77777777" w:rsidR="008E0159" w:rsidRDefault="00000000">
            <w:r>
              <w:t>Approve / defer until coverage threshold met.</w:t>
            </w:r>
          </w:p>
        </w:tc>
        <w:tc>
          <w:tcPr>
            <w:tcW w:w="1987" w:type="dxa"/>
          </w:tcPr>
          <w:p w14:paraId="4C0B5226" w14:textId="77777777" w:rsidR="008E0159" w:rsidRDefault="00000000">
            <w:r>
              <w:t>End-to-end lineage test packs for priority domains.</w:t>
            </w:r>
          </w:p>
        </w:tc>
      </w:tr>
      <w:tr w:rsidR="008E0159" w14:paraId="7BDA03E8" w14:textId="77777777">
        <w:tc>
          <w:tcPr>
            <w:tcW w:w="1987" w:type="dxa"/>
          </w:tcPr>
          <w:p w14:paraId="704A889A" w14:textId="77777777" w:rsidR="008E0159" w:rsidRDefault="00000000">
            <w:r>
              <w:t>G4</w:t>
            </w:r>
          </w:p>
        </w:tc>
        <w:tc>
          <w:tcPr>
            <w:tcW w:w="1987" w:type="dxa"/>
          </w:tcPr>
          <w:p w14:paraId="76676F08" w14:textId="77777777" w:rsidR="008E0159" w:rsidRDefault="00000000">
            <w:r>
              <w:t>Data quality operating model</w:t>
            </w:r>
          </w:p>
        </w:tc>
        <w:tc>
          <w:tcPr>
            <w:tcW w:w="1987" w:type="dxa"/>
          </w:tcPr>
          <w:p w14:paraId="791B861B" w14:textId="77777777" w:rsidR="008E0159" w:rsidRDefault="00000000">
            <w:r>
              <w:t>Tier-1 ingestion DQ migration design complete and validated with Tier-2/3 handoffs.</w:t>
            </w:r>
          </w:p>
        </w:tc>
        <w:tc>
          <w:tcPr>
            <w:tcW w:w="1987" w:type="dxa"/>
          </w:tcPr>
          <w:p w14:paraId="2FF4B1EC" w14:textId="77777777" w:rsidR="008E0159" w:rsidRDefault="00000000">
            <w:r>
              <w:t>Approve / run dual operation / reject.</w:t>
            </w:r>
          </w:p>
        </w:tc>
        <w:tc>
          <w:tcPr>
            <w:tcW w:w="1987" w:type="dxa"/>
          </w:tcPr>
          <w:p w14:paraId="595A64CD" w14:textId="77777777" w:rsidR="008E0159" w:rsidRDefault="00000000">
            <w:r>
              <w:t>Threshold mapping, quarantine tests, DQ scorecard outputs.</w:t>
            </w:r>
          </w:p>
        </w:tc>
      </w:tr>
      <w:tr w:rsidR="008E0159" w14:paraId="18039489" w14:textId="77777777">
        <w:tc>
          <w:tcPr>
            <w:tcW w:w="1987" w:type="dxa"/>
          </w:tcPr>
          <w:p w14:paraId="75D4C9A6" w14:textId="77777777" w:rsidR="008E0159" w:rsidRDefault="00000000">
            <w:r>
              <w:t>G5</w:t>
            </w:r>
          </w:p>
        </w:tc>
        <w:tc>
          <w:tcPr>
            <w:tcW w:w="1987" w:type="dxa"/>
          </w:tcPr>
          <w:p w14:paraId="7F48D492" w14:textId="77777777" w:rsidR="008E0159" w:rsidRDefault="00000000">
            <w:r>
              <w:t>Integration and delivery feasibility</w:t>
            </w:r>
          </w:p>
        </w:tc>
        <w:tc>
          <w:tcPr>
            <w:tcW w:w="1987" w:type="dxa"/>
          </w:tcPr>
          <w:p w14:paraId="280FDB34" w14:textId="77777777" w:rsidR="008E0159" w:rsidRDefault="00000000">
            <w:r>
              <w:t>IKC-Unity-Manta integration backlog, plan, and staffing finalized.</w:t>
            </w:r>
          </w:p>
        </w:tc>
        <w:tc>
          <w:tcPr>
            <w:tcW w:w="1987" w:type="dxa"/>
          </w:tcPr>
          <w:p w14:paraId="03591E9B" w14:textId="77777777" w:rsidR="008E0159" w:rsidRDefault="00000000">
            <w:r>
              <w:t>Approve phased rollout / request scope reduction.</w:t>
            </w:r>
          </w:p>
        </w:tc>
        <w:tc>
          <w:tcPr>
            <w:tcW w:w="1987" w:type="dxa"/>
          </w:tcPr>
          <w:p w14:paraId="0CF7C314" w14:textId="77777777" w:rsidR="008E0159" w:rsidRDefault="00000000">
            <w:r>
              <w:t>Delivery plan, dependency map, risk register.</w:t>
            </w:r>
          </w:p>
        </w:tc>
      </w:tr>
      <w:tr w:rsidR="008E0159" w14:paraId="1777F20B" w14:textId="77777777">
        <w:tc>
          <w:tcPr>
            <w:tcW w:w="1987" w:type="dxa"/>
          </w:tcPr>
          <w:p w14:paraId="5C65FD12" w14:textId="77777777" w:rsidR="008E0159" w:rsidRDefault="00000000">
            <w:r>
              <w:t>G6</w:t>
            </w:r>
          </w:p>
        </w:tc>
        <w:tc>
          <w:tcPr>
            <w:tcW w:w="1987" w:type="dxa"/>
          </w:tcPr>
          <w:p w14:paraId="4FAA894F" w14:textId="77777777" w:rsidR="008E0159" w:rsidRDefault="00000000">
            <w:r>
              <w:t>Economics and sustainability</w:t>
            </w:r>
          </w:p>
        </w:tc>
        <w:tc>
          <w:tcPr>
            <w:tcW w:w="1987" w:type="dxa"/>
          </w:tcPr>
          <w:p w14:paraId="5C627982" w14:textId="77777777" w:rsidR="008E0159" w:rsidRDefault="00000000">
            <w:r>
              <w:t>3-year cost model and run-cost profile available.</w:t>
            </w:r>
          </w:p>
        </w:tc>
        <w:tc>
          <w:tcPr>
            <w:tcW w:w="1987" w:type="dxa"/>
          </w:tcPr>
          <w:p w14:paraId="48DC59F3" w14:textId="77777777" w:rsidR="008E0159" w:rsidRDefault="00000000">
            <w:r>
              <w:t>Proceed / optimize and resubmit / hold.</w:t>
            </w:r>
          </w:p>
        </w:tc>
        <w:tc>
          <w:tcPr>
            <w:tcW w:w="1987" w:type="dxa"/>
          </w:tcPr>
          <w:p w14:paraId="4873A46E" w14:textId="77777777" w:rsidR="008E0159" w:rsidRDefault="00000000">
            <w:r>
              <w:t>Licensing forecast, run-ops FTE model, cost sensitivity analysis.</w:t>
            </w:r>
          </w:p>
        </w:tc>
      </w:tr>
    </w:tbl>
    <w:p w14:paraId="6F8D60EB" w14:textId="77777777" w:rsidR="008E0159" w:rsidRDefault="008E0159"/>
    <w:p w14:paraId="1DCBF7CE" w14:textId="346DF467" w:rsidR="008E0159" w:rsidRDefault="00ED00DD">
      <w:pPr>
        <w:spacing w:before="200" w:after="120"/>
      </w:pPr>
      <w:r>
        <w:rPr>
          <w:b/>
          <w:color w:val="0B345F"/>
          <w:sz w:val="32"/>
        </w:rPr>
        <w:t>7</w:t>
      </w:r>
      <w:r w:rsidR="00000000">
        <w:rPr>
          <w:b/>
          <w:color w:val="0B345F"/>
          <w:sz w:val="32"/>
        </w:rPr>
        <w:t>. Target-State Governance RACI (IKC-Primary)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2021"/>
        <w:gridCol w:w="1987"/>
      </w:tblGrid>
      <w:tr w:rsidR="008E0159" w14:paraId="394FC705" w14:textId="77777777">
        <w:tc>
          <w:tcPr>
            <w:tcW w:w="1987" w:type="dxa"/>
          </w:tcPr>
          <w:p w14:paraId="34EE6AFC" w14:textId="77777777" w:rsidR="008E0159" w:rsidRDefault="00000000">
            <w:r>
              <w:rPr>
                <w:b/>
              </w:rPr>
              <w:t>Capability</w:t>
            </w:r>
          </w:p>
        </w:tc>
        <w:tc>
          <w:tcPr>
            <w:tcW w:w="1987" w:type="dxa"/>
          </w:tcPr>
          <w:p w14:paraId="398B1486" w14:textId="77777777" w:rsidR="008E0159" w:rsidRDefault="00000000">
            <w:r>
              <w:rPr>
                <w:b/>
              </w:rPr>
              <w:t>Accountable</w:t>
            </w:r>
          </w:p>
        </w:tc>
        <w:tc>
          <w:tcPr>
            <w:tcW w:w="1987" w:type="dxa"/>
          </w:tcPr>
          <w:p w14:paraId="279F1D64" w14:textId="77777777" w:rsidR="008E0159" w:rsidRDefault="00000000">
            <w:r>
              <w:rPr>
                <w:b/>
              </w:rPr>
              <w:t>Responsible</w:t>
            </w:r>
          </w:p>
        </w:tc>
        <w:tc>
          <w:tcPr>
            <w:tcW w:w="1987" w:type="dxa"/>
          </w:tcPr>
          <w:p w14:paraId="1E374E76" w14:textId="77777777" w:rsidR="008E0159" w:rsidRDefault="00000000">
            <w:r>
              <w:rPr>
                <w:b/>
              </w:rPr>
              <w:t>Consulted</w:t>
            </w:r>
          </w:p>
        </w:tc>
        <w:tc>
          <w:tcPr>
            <w:tcW w:w="1987" w:type="dxa"/>
          </w:tcPr>
          <w:p w14:paraId="4AC9C322" w14:textId="77777777" w:rsidR="008E0159" w:rsidRDefault="00000000">
            <w:r>
              <w:rPr>
                <w:b/>
              </w:rPr>
              <w:t>Informed</w:t>
            </w:r>
          </w:p>
        </w:tc>
      </w:tr>
      <w:tr w:rsidR="008E0159" w14:paraId="3930B98D" w14:textId="77777777">
        <w:tc>
          <w:tcPr>
            <w:tcW w:w="1987" w:type="dxa"/>
          </w:tcPr>
          <w:p w14:paraId="4492D239" w14:textId="77777777" w:rsidR="008E0159" w:rsidRDefault="00000000">
            <w:r>
              <w:t>Glossary and classifications</w:t>
            </w:r>
          </w:p>
        </w:tc>
        <w:tc>
          <w:tcPr>
            <w:tcW w:w="1987" w:type="dxa"/>
          </w:tcPr>
          <w:p w14:paraId="4F97B284" w14:textId="77777777" w:rsidR="008E0159" w:rsidRDefault="00000000">
            <w:r>
              <w:t>CDO Governance Office</w:t>
            </w:r>
          </w:p>
        </w:tc>
        <w:tc>
          <w:tcPr>
            <w:tcW w:w="1987" w:type="dxa"/>
          </w:tcPr>
          <w:p w14:paraId="09A85BAE" w14:textId="77777777" w:rsidR="008E0159" w:rsidRDefault="00000000">
            <w:r>
              <w:t>Data Governance Team (IKC)</w:t>
            </w:r>
          </w:p>
        </w:tc>
        <w:tc>
          <w:tcPr>
            <w:tcW w:w="1987" w:type="dxa"/>
          </w:tcPr>
          <w:p w14:paraId="1AD1E101" w14:textId="77777777" w:rsidR="008E0159" w:rsidRDefault="00000000">
            <w:r>
              <w:t>Domain Data Owners, Security &amp; Privacy</w:t>
            </w:r>
          </w:p>
        </w:tc>
        <w:tc>
          <w:tcPr>
            <w:tcW w:w="1987" w:type="dxa"/>
          </w:tcPr>
          <w:p w14:paraId="00B19F16" w14:textId="77777777" w:rsidR="008E0159" w:rsidRDefault="00000000">
            <w:r>
              <w:t>Domain analytics leads</w:t>
            </w:r>
          </w:p>
        </w:tc>
      </w:tr>
      <w:tr w:rsidR="008E0159" w14:paraId="476DCAE9" w14:textId="77777777">
        <w:tc>
          <w:tcPr>
            <w:tcW w:w="1987" w:type="dxa"/>
          </w:tcPr>
          <w:p w14:paraId="1D4B36A9" w14:textId="77777777" w:rsidR="008E0159" w:rsidRDefault="00000000">
            <w:r>
              <w:t>Runtime access enforcement</w:t>
            </w:r>
          </w:p>
        </w:tc>
        <w:tc>
          <w:tcPr>
            <w:tcW w:w="1987" w:type="dxa"/>
          </w:tcPr>
          <w:p w14:paraId="697CA791" w14:textId="77777777" w:rsidR="008E0159" w:rsidRDefault="00000000">
            <w:r>
              <w:t>Data Platform Security Architect</w:t>
            </w:r>
          </w:p>
        </w:tc>
        <w:tc>
          <w:tcPr>
            <w:tcW w:w="1987" w:type="dxa"/>
          </w:tcPr>
          <w:p w14:paraId="6E354C06" w14:textId="77777777" w:rsidR="008E0159" w:rsidRDefault="00000000">
            <w:r>
              <w:t>Databricks Platform Team (Unity Catalog)</w:t>
            </w:r>
          </w:p>
        </w:tc>
        <w:tc>
          <w:tcPr>
            <w:tcW w:w="1987" w:type="dxa"/>
          </w:tcPr>
          <w:p w14:paraId="0DB28708" w14:textId="77777777" w:rsidR="008E0159" w:rsidRDefault="00000000">
            <w:r>
              <w:t>Governance Office, SAS Platform Team</w:t>
            </w:r>
          </w:p>
        </w:tc>
        <w:tc>
          <w:tcPr>
            <w:tcW w:w="1987" w:type="dxa"/>
          </w:tcPr>
          <w:p w14:paraId="14F2F355" w14:textId="77777777" w:rsidR="008E0159" w:rsidRDefault="00000000">
            <w:r>
              <w:t>Audit and Risk teams</w:t>
            </w:r>
          </w:p>
        </w:tc>
      </w:tr>
      <w:tr w:rsidR="008E0159" w14:paraId="7B393255" w14:textId="77777777">
        <w:tc>
          <w:tcPr>
            <w:tcW w:w="1987" w:type="dxa"/>
          </w:tcPr>
          <w:p w14:paraId="5A0E2DFA" w14:textId="77777777" w:rsidR="008E0159" w:rsidRDefault="00000000">
            <w:r>
              <w:t>Cross-platform lineage</w:t>
            </w:r>
          </w:p>
        </w:tc>
        <w:tc>
          <w:tcPr>
            <w:tcW w:w="1987" w:type="dxa"/>
          </w:tcPr>
          <w:p w14:paraId="6D06A7C9" w14:textId="77777777" w:rsidR="008E0159" w:rsidRDefault="00000000">
            <w:r>
              <w:t>Enterprise Data Architecture</w:t>
            </w:r>
          </w:p>
        </w:tc>
        <w:tc>
          <w:tcPr>
            <w:tcW w:w="1987" w:type="dxa"/>
          </w:tcPr>
          <w:p w14:paraId="335FAD4D" w14:textId="77777777" w:rsidR="008E0159" w:rsidRDefault="00000000">
            <w:r>
              <w:t>Manta Lineage Operations</w:t>
            </w:r>
          </w:p>
        </w:tc>
        <w:tc>
          <w:tcPr>
            <w:tcW w:w="1987" w:type="dxa"/>
          </w:tcPr>
          <w:p w14:paraId="7888305F" w14:textId="77777777" w:rsidR="008E0159" w:rsidRDefault="00000000">
            <w:r>
              <w:t>Databricks/ADF/SAS engineering teams</w:t>
            </w:r>
          </w:p>
        </w:tc>
        <w:tc>
          <w:tcPr>
            <w:tcW w:w="1987" w:type="dxa"/>
          </w:tcPr>
          <w:p w14:paraId="1BB49EB4" w14:textId="77777777" w:rsidR="008E0159" w:rsidRDefault="00000000">
            <w:r>
              <w:t>Stewards and compliance</w:t>
            </w:r>
          </w:p>
        </w:tc>
      </w:tr>
      <w:tr w:rsidR="008E0159" w14:paraId="371B80CC" w14:textId="77777777">
        <w:tc>
          <w:tcPr>
            <w:tcW w:w="1987" w:type="dxa"/>
          </w:tcPr>
          <w:p w14:paraId="5C4CEA01" w14:textId="77777777" w:rsidR="008E0159" w:rsidRDefault="00000000">
            <w:r>
              <w:t>Ingestion DQ gate</w:t>
            </w:r>
          </w:p>
        </w:tc>
        <w:tc>
          <w:tcPr>
            <w:tcW w:w="1987" w:type="dxa"/>
          </w:tcPr>
          <w:p w14:paraId="0DB9FD43" w14:textId="77777777" w:rsidR="008E0159" w:rsidRDefault="00000000">
            <w:r>
              <w:t>Chief Data Quality Lead</w:t>
            </w:r>
          </w:p>
        </w:tc>
        <w:tc>
          <w:tcPr>
            <w:tcW w:w="1987" w:type="dxa"/>
          </w:tcPr>
          <w:p w14:paraId="33359F19" w14:textId="77777777" w:rsidR="008E0159" w:rsidRDefault="00000000">
            <w:r>
              <w:t>Data Engineering + Governance DQ team</w:t>
            </w:r>
          </w:p>
        </w:tc>
        <w:tc>
          <w:tcPr>
            <w:tcW w:w="1987" w:type="dxa"/>
          </w:tcPr>
          <w:p w14:paraId="2B255EEB" w14:textId="77777777" w:rsidR="008E0159" w:rsidRDefault="00000000">
            <w:r>
              <w:t>Domain stewards</w:t>
            </w:r>
          </w:p>
        </w:tc>
        <w:tc>
          <w:tcPr>
            <w:tcW w:w="1987" w:type="dxa"/>
          </w:tcPr>
          <w:p w14:paraId="53B7393B" w14:textId="77777777" w:rsidR="008E0159" w:rsidRDefault="00000000">
            <w:r>
              <w:t>CDO leadership</w:t>
            </w:r>
          </w:p>
        </w:tc>
      </w:tr>
    </w:tbl>
    <w:p w14:paraId="3528EF52" w14:textId="77777777" w:rsidR="008E0159" w:rsidRDefault="008E0159"/>
    <w:p w14:paraId="7E71F520" w14:textId="0924E03E" w:rsidR="008E0159" w:rsidRDefault="00ED00DD">
      <w:pPr>
        <w:spacing w:before="200" w:after="120"/>
      </w:pPr>
      <w:r>
        <w:rPr>
          <w:b/>
          <w:color w:val="0B345F"/>
          <w:sz w:val="32"/>
        </w:rPr>
        <w:t>8</w:t>
      </w:r>
      <w:r w:rsidR="00000000">
        <w:rPr>
          <w:b/>
          <w:color w:val="0B345F"/>
          <w:sz w:val="32"/>
        </w:rPr>
        <w:t>. Migration Approach (No Change to Existing Documents Yet)</w:t>
      </w:r>
    </w:p>
    <w:p w14:paraId="74D5D2BE" w14:textId="77777777" w:rsidR="008E0159" w:rsidRDefault="00000000">
      <w:pPr>
        <w:spacing w:before="160" w:after="80"/>
      </w:pPr>
      <w:r>
        <w:rPr>
          <w:b/>
          <w:color w:val="0B345F"/>
          <w:sz w:val="26"/>
        </w:rPr>
        <w:lastRenderedPageBreak/>
        <w:t>Phase 1 - Definition and Pilot</w:t>
      </w:r>
    </w:p>
    <w:p w14:paraId="4A02C878" w14:textId="77777777" w:rsidR="008E0159" w:rsidRDefault="00000000">
      <w:pPr>
        <w:pStyle w:val="Listepuces"/>
        <w:spacing w:after="40"/>
      </w:pPr>
      <w:r>
        <w:t>Approve AD rewrite direction (AD-05/06/08).</w:t>
      </w:r>
    </w:p>
    <w:p w14:paraId="67D190C3" w14:textId="77777777" w:rsidR="008E0159" w:rsidRDefault="00000000">
      <w:pPr>
        <w:pStyle w:val="Listepuces"/>
        <w:spacing w:after="40"/>
      </w:pPr>
      <w:r>
        <w:t>Stand up IKC as enterprise governance authority for one priority domain (recommended: Customer 360).</w:t>
      </w:r>
    </w:p>
    <w:p w14:paraId="6DAB7BA1" w14:textId="77777777" w:rsidR="008E0159" w:rsidRDefault="00000000">
      <w:pPr>
        <w:pStyle w:val="Listepuces"/>
        <w:spacing w:after="40"/>
      </w:pPr>
      <w:r>
        <w:t>Implement IKC-to-Unity classification/policy mapping automation for pilot scope.</w:t>
      </w:r>
    </w:p>
    <w:p w14:paraId="66B2B3D1" w14:textId="77777777" w:rsidR="008E0159" w:rsidRDefault="00000000">
      <w:pPr>
        <w:spacing w:before="160" w:after="80"/>
      </w:pPr>
      <w:r>
        <w:rPr>
          <w:b/>
          <w:color w:val="0B345F"/>
          <w:sz w:val="26"/>
        </w:rPr>
        <w:t>Phase 2 - Controlled Parallel Run</w:t>
      </w:r>
    </w:p>
    <w:p w14:paraId="70A93B27" w14:textId="77777777" w:rsidR="008E0159" w:rsidRDefault="00000000">
      <w:pPr>
        <w:pStyle w:val="Listepuces"/>
        <w:spacing w:after="40"/>
      </w:pPr>
      <w:r>
        <w:t>Run Purview-primary and IKC-primary governance in parallel for 1-2 release cycles.</w:t>
      </w:r>
    </w:p>
    <w:p w14:paraId="274F4C64" w14:textId="77777777" w:rsidR="008E0159" w:rsidRDefault="00000000">
      <w:pPr>
        <w:pStyle w:val="Listepuces"/>
        <w:spacing w:after="40"/>
      </w:pPr>
      <w:r>
        <w:t>Compare glossary consistency, classification propagation, DQ outcomes, and lineage coverage.</w:t>
      </w:r>
    </w:p>
    <w:p w14:paraId="28327085" w14:textId="77777777" w:rsidR="008E0159" w:rsidRDefault="00000000">
      <w:pPr>
        <w:pStyle w:val="Listepuces"/>
        <w:spacing w:after="40"/>
      </w:pPr>
      <w:r>
        <w:t>Complete board gates G2-G4 using formal evidence packs.</w:t>
      </w:r>
    </w:p>
    <w:p w14:paraId="32137024" w14:textId="77777777" w:rsidR="008E0159" w:rsidRDefault="00000000">
      <w:pPr>
        <w:spacing w:before="160" w:after="80"/>
      </w:pPr>
      <w:r>
        <w:rPr>
          <w:b/>
          <w:color w:val="0B345F"/>
          <w:sz w:val="26"/>
        </w:rPr>
        <w:t>Phase 3 - Cutover</w:t>
      </w:r>
    </w:p>
    <w:p w14:paraId="2EC1D60B" w14:textId="77777777" w:rsidR="008E0159" w:rsidRDefault="00000000">
      <w:pPr>
        <w:pStyle w:val="Listepuces"/>
        <w:spacing w:after="40"/>
      </w:pPr>
      <w:r>
        <w:t>Switch governance authority to IKC across approved domains.</w:t>
      </w:r>
    </w:p>
    <w:p w14:paraId="5D3D29FA" w14:textId="77777777" w:rsidR="008E0159" w:rsidRDefault="00000000">
      <w:pPr>
        <w:pStyle w:val="Listepuces"/>
        <w:spacing w:after="40"/>
      </w:pPr>
      <w:r>
        <w:t>Reposition Purview to auxiliary integration scope only.</w:t>
      </w:r>
    </w:p>
    <w:p w14:paraId="0E804EB0" w14:textId="77777777" w:rsidR="008E0159" w:rsidRDefault="00000000">
      <w:pPr>
        <w:pStyle w:val="Listepuces"/>
        <w:spacing w:after="40"/>
      </w:pPr>
      <w:r>
        <w:t>Baseline runbooks, KPI dashboards, and operating KPIs under IKC ownership.</w:t>
      </w:r>
    </w:p>
    <w:p w14:paraId="6B577ADF" w14:textId="3AC1D250" w:rsidR="008E0159" w:rsidRDefault="00ED00DD">
      <w:pPr>
        <w:spacing w:before="200" w:after="120"/>
      </w:pPr>
      <w:r>
        <w:rPr>
          <w:b/>
          <w:color w:val="0B345F"/>
          <w:sz w:val="32"/>
        </w:rPr>
        <w:t>9</w:t>
      </w:r>
      <w:r w:rsidR="00000000">
        <w:rPr>
          <w:b/>
          <w:color w:val="0B345F"/>
          <w:sz w:val="32"/>
        </w:rPr>
        <w:t>. Risks, Constraints, and Mitigations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8E0159" w14:paraId="3705731B" w14:textId="77777777">
        <w:tc>
          <w:tcPr>
            <w:tcW w:w="3312" w:type="dxa"/>
          </w:tcPr>
          <w:p w14:paraId="16119B0D" w14:textId="77777777" w:rsidR="008E0159" w:rsidRDefault="00000000">
            <w:r>
              <w:rPr>
                <w:b/>
              </w:rPr>
              <w:t>Risk</w:t>
            </w:r>
          </w:p>
        </w:tc>
        <w:tc>
          <w:tcPr>
            <w:tcW w:w="3312" w:type="dxa"/>
          </w:tcPr>
          <w:p w14:paraId="3C75F3B3" w14:textId="77777777" w:rsidR="008E0159" w:rsidRDefault="00000000">
            <w:r>
              <w:rPr>
                <w:b/>
              </w:rPr>
              <w:t>Impact</w:t>
            </w:r>
          </w:p>
        </w:tc>
        <w:tc>
          <w:tcPr>
            <w:tcW w:w="3312" w:type="dxa"/>
          </w:tcPr>
          <w:p w14:paraId="1412F9CA" w14:textId="77777777" w:rsidR="008E0159" w:rsidRDefault="00000000">
            <w:r>
              <w:rPr>
                <w:b/>
              </w:rPr>
              <w:t>Mitigation</w:t>
            </w:r>
          </w:p>
        </w:tc>
      </w:tr>
      <w:tr w:rsidR="008E0159" w14:paraId="54716723" w14:textId="77777777">
        <w:tc>
          <w:tcPr>
            <w:tcW w:w="3312" w:type="dxa"/>
          </w:tcPr>
          <w:p w14:paraId="671D998A" w14:textId="77777777" w:rsidR="008E0159" w:rsidRDefault="00000000">
            <w:r>
              <w:t>Increased governance stack complexity</w:t>
            </w:r>
          </w:p>
        </w:tc>
        <w:tc>
          <w:tcPr>
            <w:tcW w:w="3312" w:type="dxa"/>
          </w:tcPr>
          <w:p w14:paraId="75982EF4" w14:textId="77777777" w:rsidR="008E0159" w:rsidRDefault="00000000">
            <w:r>
              <w:t>Longer delivery timelines and operational overhead.</w:t>
            </w:r>
          </w:p>
        </w:tc>
        <w:tc>
          <w:tcPr>
            <w:tcW w:w="3312" w:type="dxa"/>
          </w:tcPr>
          <w:p w14:paraId="6A4E2F17" w14:textId="77777777" w:rsidR="008E0159" w:rsidRDefault="00000000">
            <w:r>
              <w:t>Limit scope to high-value domains first; enforce phased board gates.</w:t>
            </w:r>
          </w:p>
        </w:tc>
      </w:tr>
      <w:tr w:rsidR="008E0159" w14:paraId="1C0951A2" w14:textId="77777777">
        <w:tc>
          <w:tcPr>
            <w:tcW w:w="3312" w:type="dxa"/>
          </w:tcPr>
          <w:p w14:paraId="1D8E8521" w14:textId="77777777" w:rsidR="008E0159" w:rsidRDefault="00000000">
            <w:r>
              <w:t>Policy synchronization drift (IKC to Unity Catalog)</w:t>
            </w:r>
          </w:p>
        </w:tc>
        <w:tc>
          <w:tcPr>
            <w:tcW w:w="3312" w:type="dxa"/>
          </w:tcPr>
          <w:p w14:paraId="7F960D8A" w14:textId="77777777" w:rsidR="008E0159" w:rsidRDefault="00000000">
            <w:r>
              <w:t>Misalignment between governance intent and runtime enforcement.</w:t>
            </w:r>
          </w:p>
        </w:tc>
        <w:tc>
          <w:tcPr>
            <w:tcW w:w="3312" w:type="dxa"/>
          </w:tcPr>
          <w:p w14:paraId="3A925D12" w14:textId="77777777" w:rsidR="008E0159" w:rsidRDefault="00000000">
            <w:r>
              <w:t>Automated reconciliation jobs, drift alerts, and approval controls.</w:t>
            </w:r>
          </w:p>
        </w:tc>
      </w:tr>
      <w:tr w:rsidR="008E0159" w14:paraId="6E82F970" w14:textId="77777777">
        <w:tc>
          <w:tcPr>
            <w:tcW w:w="3312" w:type="dxa"/>
          </w:tcPr>
          <w:p w14:paraId="2C8D8261" w14:textId="77777777" w:rsidR="008E0159" w:rsidRDefault="00000000">
            <w:r>
              <w:t>Security regression via non-governed paths</w:t>
            </w:r>
          </w:p>
        </w:tc>
        <w:tc>
          <w:tcPr>
            <w:tcW w:w="3312" w:type="dxa"/>
          </w:tcPr>
          <w:p w14:paraId="4BCF8480" w14:textId="77777777" w:rsidR="008E0159" w:rsidRDefault="00000000">
            <w:r>
              <w:t>Regulatory and audit exposure.</w:t>
            </w:r>
          </w:p>
        </w:tc>
        <w:tc>
          <w:tcPr>
            <w:tcW w:w="3312" w:type="dxa"/>
          </w:tcPr>
          <w:p w14:paraId="731B045B" w14:textId="77777777" w:rsidR="008E0159" w:rsidRDefault="00000000">
            <w:r>
              <w:t>Preserve mandatory Unity Catalog/JDBC path for sensitive reads, especially SAS paths.</w:t>
            </w:r>
          </w:p>
        </w:tc>
      </w:tr>
      <w:tr w:rsidR="008E0159" w14:paraId="0D1A26A2" w14:textId="77777777">
        <w:tc>
          <w:tcPr>
            <w:tcW w:w="3312" w:type="dxa"/>
          </w:tcPr>
          <w:p w14:paraId="31A82A8F" w14:textId="77777777" w:rsidR="008E0159" w:rsidRDefault="00000000">
            <w:r>
              <w:t>Cost increase (licensing + run operations)</w:t>
            </w:r>
          </w:p>
        </w:tc>
        <w:tc>
          <w:tcPr>
            <w:tcW w:w="3312" w:type="dxa"/>
          </w:tcPr>
          <w:p w14:paraId="1B7586F2" w14:textId="77777777" w:rsidR="008E0159" w:rsidRDefault="00000000">
            <w:r>
              <w:t>Lower financial efficiency versus baseline.</w:t>
            </w:r>
          </w:p>
        </w:tc>
        <w:tc>
          <w:tcPr>
            <w:tcW w:w="3312" w:type="dxa"/>
          </w:tcPr>
          <w:p w14:paraId="06C6A0F9" w14:textId="77777777" w:rsidR="008E0159" w:rsidRDefault="00000000">
            <w:r>
              <w:t>Board-governed cost gates and 3-year TCO checkpoint before full rollout.</w:t>
            </w:r>
          </w:p>
        </w:tc>
      </w:tr>
    </w:tbl>
    <w:p w14:paraId="3F48D4D7" w14:textId="77777777" w:rsidR="008E0159" w:rsidRDefault="008E0159"/>
    <w:p w14:paraId="681A1A97" w14:textId="4CB0BEAF" w:rsidR="008E0159" w:rsidRDefault="00ED00DD">
      <w:pPr>
        <w:spacing w:before="200" w:after="120"/>
      </w:pPr>
      <w:r>
        <w:rPr>
          <w:b/>
          <w:color w:val="0B345F"/>
          <w:sz w:val="32"/>
        </w:rPr>
        <w:t>10</w:t>
      </w:r>
      <w:r w:rsidR="00000000">
        <w:rPr>
          <w:b/>
          <w:color w:val="0B345F"/>
          <w:sz w:val="32"/>
        </w:rPr>
        <w:t>. Recommendation to the Architecture Board</w:t>
      </w:r>
    </w:p>
    <w:p w14:paraId="4C7AEE91" w14:textId="77777777" w:rsidR="008E0159" w:rsidRDefault="00000000">
      <w:pPr>
        <w:spacing w:after="80"/>
      </w:pPr>
      <w:r>
        <w:t>Approve an IKC-primary pilot with strict gate-based progression rather than immediate enterprise-wide cutover. This validates governance benefits against complexity and cost trade-offs while preserving existing security enforcement fundamentals in Unity Catalog.</w:t>
      </w:r>
    </w:p>
    <w:p w14:paraId="231F171B" w14:textId="77777777" w:rsidR="008E0159" w:rsidRDefault="00000000">
      <w:pPr>
        <w:spacing w:after="80"/>
      </w:pPr>
      <w:r>
        <w:t>This proposal intentionally does not modify any existing baseline documents. It is a decision-support artifact for architecture governance.</w:t>
      </w:r>
    </w:p>
    <w:sectPr w:rsidR="008E0159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090887">
    <w:abstractNumId w:val="8"/>
  </w:num>
  <w:num w:numId="2" w16cid:durableId="356583082">
    <w:abstractNumId w:val="6"/>
  </w:num>
  <w:num w:numId="3" w16cid:durableId="263537829">
    <w:abstractNumId w:val="5"/>
  </w:num>
  <w:num w:numId="4" w16cid:durableId="583731558">
    <w:abstractNumId w:val="4"/>
  </w:num>
  <w:num w:numId="5" w16cid:durableId="1666516302">
    <w:abstractNumId w:val="7"/>
  </w:num>
  <w:num w:numId="6" w16cid:durableId="969937254">
    <w:abstractNumId w:val="3"/>
  </w:num>
  <w:num w:numId="7" w16cid:durableId="1003970221">
    <w:abstractNumId w:val="2"/>
  </w:num>
  <w:num w:numId="8" w16cid:durableId="1696227935">
    <w:abstractNumId w:val="1"/>
  </w:num>
  <w:num w:numId="9" w16cid:durableId="83835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6808"/>
    <w:rsid w:val="008E0159"/>
    <w:rsid w:val="00AA1D8D"/>
    <w:rsid w:val="00B47730"/>
    <w:rsid w:val="00CB0664"/>
    <w:rsid w:val="00ED00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0D262"/>
  <w14:defaultImageDpi w14:val="300"/>
  <w15:docId w15:val="{1C38D631-F5B3-9C41-AE8C-808C3111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1467</Words>
  <Characters>10085</Characters>
  <Application>Microsoft Office Word</Application>
  <DocSecurity>0</DocSecurity>
  <Lines>403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Olivier Abrivard</cp:lastModifiedBy>
  <cp:revision>2</cp:revision>
  <dcterms:created xsi:type="dcterms:W3CDTF">2013-12-23T23:15:00Z</dcterms:created>
  <dcterms:modified xsi:type="dcterms:W3CDTF">2026-03-04T11:04:00Z</dcterms:modified>
  <cp:category/>
</cp:coreProperties>
</file>