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480"/>
      </w:pPr>
    </w:p>
    <w:p>
      <w:pPr>
        <w:jc w:val="left"/>
      </w:pPr>
      <w:r>
        <w:rPr>
          <w:rFonts w:ascii="Calibri" w:hAnsi="Calibri"/>
          <w:b/>
          <w:color w:val="2E75B6"/>
          <w:sz w:val="22"/>
        </w:rPr>
        <w:t>GREENFIELD</w:t>
      </w:r>
      <w:r>
        <w:rPr>
          <w:rFonts w:ascii="Calibri" w:hAnsi="Calibri"/>
          <w:color w:val="444444"/>
          <w:sz w:val="20"/>
        </w:rPr>
        <w:br/>
        <w:t>Data &amp; AI Solutions</w:t>
      </w:r>
    </w:p>
    <w:p>
      <w:pPr>
        <w:spacing w:before="0" w:after="200"/>
      </w:pPr>
    </w:p>
    <w:p>
      <w:pPr>
        <w:pBdr>
          <w:bottom w:val="single" w:sz="6" w:space="1" w:color="2E75B6"/>
        </w:pBdr>
        <w:spacing w:before="0" w:after="120"/>
      </w:pPr>
    </w:p>
    <w:p>
      <w:pPr>
        <w:spacing w:before="0" w:after="80"/>
      </w:pPr>
    </w:p>
    <w:p>
      <w:pPr>
        <w:jc w:val="left"/>
      </w:pPr>
      <w:r>
        <w:rPr>
          <w:rFonts w:ascii="Calibri" w:hAnsi="Calibri"/>
          <w:b/>
          <w:color w:val="1F497D"/>
          <w:sz w:val="44"/>
        </w:rPr>
        <w:t>Modern Data Platform</w:t>
        <w:br/>
        <w:t>IKC-Primary Alternative</w:t>
      </w:r>
    </w:p>
    <w:p>
      <w:pPr>
        <w:spacing w:before="0" w:after="80"/>
      </w:pPr>
    </w:p>
    <w:p>
      <w:pPr>
        <w:pBdr>
          <w:bottom w:val="single" w:sz="6" w:space="1" w:color="1F497D"/>
        </w:pBdr>
        <w:spacing w:before="0" w:after="120"/>
      </w:pPr>
    </w:p>
    <w:p>
      <w:pPr>
        <w:spacing w:before="0" w:after="320"/>
      </w:pPr>
    </w:p>
    <w:tbl>
      <w:tblPr>
        <w:tblStyle w:val="TableGrid"/>
        <w:tblW w:w="8100" w:type="dxa"/>
        <w:tblLook w:firstColumn="1" w:firstRow="1" w:lastColumn="0" w:lastRow="0" w:noHBand="0" w:noVBand="1" w:val="04A0"/>
      </w:tblPr>
      <w:tblGrid>
        <w:gridCol w:w="4680"/>
        <w:gridCol w:w="4680"/>
      </w:tblGrid>
      <w:tr>
        <w:tc>
          <w:tcPr>
            <w:tcW w:w="180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i w:val="0"/>
                <w:color w:val="2E75B6"/>
                <w:sz w:val="18"/>
              </w:rPr>
              <w:t>Document Type</w:t>
            </w:r>
          </w:p>
        </w:tc>
        <w:tc>
          <w:tcPr>
            <w:tcW w:w="63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Architecture Alternative Analysis</w:t>
            </w:r>
          </w:p>
        </w:tc>
      </w:tr>
      <w:tr>
        <w:tc>
          <w:tcPr>
            <w:tcW w:w="180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i w:val="0"/>
                <w:color w:val="2E75B6"/>
                <w:sz w:val="18"/>
              </w:rPr>
              <w:t>Scope</w:t>
            </w:r>
          </w:p>
        </w:tc>
        <w:tc>
          <w:tcPr>
            <w:tcW w:w="63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Governance and catalog operating model — Databricks-primary architecture context</w:t>
            </w:r>
          </w:p>
        </w:tc>
      </w:tr>
      <w:tr>
        <w:tc>
          <w:tcPr>
            <w:tcW w:w="180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i w:val="0"/>
                <w:color w:val="2E75B6"/>
                <w:sz w:val="18"/>
              </w:rPr>
              <w:t>Classification</w:t>
            </w:r>
          </w:p>
        </w:tc>
        <w:tc>
          <w:tcPr>
            <w:tcW w:w="63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Internal – Confidential</w:t>
            </w:r>
          </w:p>
        </w:tc>
      </w:tr>
      <w:tr>
        <w:tc>
          <w:tcPr>
            <w:tcW w:w="180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i w:val="0"/>
                <w:color w:val="2E75B6"/>
                <w:sz w:val="18"/>
              </w:rPr>
              <w:t>Status</w:t>
            </w:r>
          </w:p>
        </w:tc>
        <w:tc>
          <w:tcPr>
            <w:tcW w:w="63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Draft v3.0 – For Architecture Board Review</w:t>
            </w:r>
          </w:p>
        </w:tc>
      </w:tr>
      <w:tr>
        <w:tc>
          <w:tcPr>
            <w:tcW w:w="180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i w:val="0"/>
                <w:color w:val="2E75B6"/>
                <w:sz w:val="18"/>
              </w:rPr>
              <w:t>Date</w:t>
            </w:r>
          </w:p>
        </w:tc>
        <w:tc>
          <w:tcPr>
            <w:tcW w:w="63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March 2026</w:t>
            </w:r>
          </w:p>
        </w:tc>
      </w:tr>
      <w:tr>
        <w:tc>
          <w:tcPr>
            <w:tcW w:w="180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i w:val="0"/>
                <w:color w:val="2E75B6"/>
                <w:sz w:val="18"/>
              </w:rPr>
              <w:t>Prepared For</w:t>
            </w:r>
          </w:p>
        </w:tc>
        <w:tc>
          <w:tcPr>
            <w:tcW w:w="63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VP, Chief Data Officer – Data &amp; AI Solutions</w:t>
            </w:r>
          </w:p>
        </w:tc>
      </w:tr>
    </w:tbl>
    <w:p>
      <w:pPr>
        <w:spacing w:before="0" w:after="400"/>
      </w:pPr>
    </w:p>
    <w:p>
      <w:pPr>
        <w:pStyle w:val="Heading1"/>
      </w:pPr>
      <w:r>
        <w:rPr>
          <w:b/>
          <w:color w:val="1F497D"/>
          <w:sz w:val="28"/>
        </w:rPr>
        <w:t>1. Executive Summary</w:t>
      </w:r>
    </w:p>
    <w:p>
      <w:pPr>
        <w:spacing w:before="0" w:after="160"/>
        <w:jc w:val="left"/>
      </w:pPr>
      <w:r>
        <w:rPr>
          <w:b w:val="0"/>
          <w:i w:val="0"/>
        </w:rPr>
        <w:t>This document proposes an alternative governance architecture where IBM Knowledge Catalog (IKC) becomes the primary enterprise catalog for the Greenfield Modern Data Platform, replacing the Purview-primary governance model established in the Databricks-primary reference architecture (v8.0). It formalizes the analysis of the baseline architecture, defines the governance delta, evaluates strengths and risks, and provides a structured recommendation for the Architecture Board.</w:t>
      </w:r>
    </w:p>
    <w:p>
      <w:pPr>
        <w:spacing w:before="0" w:after="160"/>
        <w:jc w:val="left"/>
      </w:pPr>
      <w:r>
        <w:rPr>
          <w:b w:val="0"/>
          <w:i w:val="0"/>
        </w:rPr>
        <w:t>The proposal does not alter the platform topology. Databricks remains the primary platform for data engineering, warehousing, and AI/ML. Microsoft Fabric remains scoped strictly as the BI serving layer. SAS Viya Compute Server is retained for regulated actuarial and risk analytics. The material change is governance authority exclusively.</w:t>
      </w:r>
    </w:p>
    <w:p>
      <w:pPr>
        <w:spacing w:before="0" w:after="80"/>
        <w:jc w:val="left"/>
      </w:pPr>
      <w:r>
        <w:rPr>
          <w:b w:val="0"/>
          <w:i w:val="0"/>
        </w:rPr>
        <w:t>The key structural changes are:</w:t>
      </w:r>
    </w:p>
    <w:p>
      <w:pPr>
        <w:pStyle w:val="ListBullet"/>
        <w:spacing w:before="20" w:after="20"/>
      </w:pPr>
      <w:r>
        <w:rPr>
          <w:color w:val="1A1A1A"/>
          <w:sz w:val="20"/>
        </w:rPr>
        <w:t>IKC becomes the authoritative system of record for glossary, classification, stewardship workflows, governance policy metadata, and data product certification metadata.</w:t>
      </w:r>
    </w:p>
    <w:p>
      <w:pPr>
        <w:pStyle w:val="ListBullet"/>
        <w:spacing w:before="20" w:after="20"/>
      </w:pPr>
      <w:r>
        <w:rPr>
          <w:color w:val="1A1A1A"/>
          <w:sz w:val="20"/>
        </w:rPr>
        <w:t>Unity Catalog remains the mandatory runtime enforcement layer for data-level controls (RLS, CLS, DDM, grants) within Databricks. This is non-negotiable.</w:t>
      </w:r>
    </w:p>
    <w:p>
      <w:pPr>
        <w:pStyle w:val="ListBullet"/>
        <w:spacing w:before="20" w:after="20"/>
      </w:pPr>
      <w:r>
        <w:rPr>
          <w:color w:val="1A1A1A"/>
          <w:sz w:val="20"/>
        </w:rPr>
        <w:t>Manta remains the cross-platform lineage engine; its primary publication target shifts from Purview to IKC.</w:t>
      </w:r>
    </w:p>
    <w:p>
      <w:pPr>
        <w:pStyle w:val="ListBullet"/>
        <w:spacing w:before="20" w:after="20"/>
      </w:pPr>
      <w:r>
        <w:rPr>
          <w:color w:val="1A1A1A"/>
          <w:sz w:val="20"/>
        </w:rPr>
        <w:t>Purview is repositioned to auxiliary scope: M365 DLP integration only (Teams, SharePoint, email exfiltration prevention).</w:t>
      </w:r>
    </w:p>
    <w:p>
      <w:pPr>
        <w:spacing w:before="0" w:after="160"/>
      </w:pPr>
    </w:p>
    <w:p>
      <w:pPr>
        <w:pStyle w:val="Heading1"/>
      </w:pPr>
      <w:r>
        <w:rPr>
          <w:b/>
          <w:color w:val="1F497D"/>
          <w:sz w:val="28"/>
        </w:rPr>
        <w:t>2. Baseline Architecture Analysis (Databricks-Primary v8.0)</w:t>
      </w:r>
    </w:p>
    <w:p>
      <w:pPr>
        <w:spacing w:before="0" w:after="160"/>
        <w:jc w:val="left"/>
      </w:pPr>
      <w:r>
        <w:rPr>
          <w:b w:val="0"/>
          <w:i w:val="0"/>
        </w:rPr>
        <w:t>The reference architecture defines a deliberate three-tier governance model with explicitly non-overlapping mandates. Understanding the rationale behind each tier is essential before proposing a substitution at Tier 1.</w:t>
      </w:r>
    </w:p>
    <w:p>
      <w:pPr>
        <w:pStyle w:val="Heading2"/>
      </w:pPr>
      <w:r>
        <w:rPr>
          <w:b/>
          <w:color w:val="2E75B6"/>
          <w:sz w:val="24"/>
        </w:rPr>
        <w:t>2.1 Three-Tier Governance Model</w:t>
      </w:r>
    </w:p>
    <w:tbl>
      <w:tblPr>
        <w:tblStyle w:val="TableGrid"/>
        <w:tblW w:w="8160" w:type="dxa"/>
        <w:jc w:val="left"/>
        <w:tblLook w:firstColumn="1" w:firstRow="1" w:lastColumn="0" w:lastRow="0" w:noHBand="0" w:noVBand="1" w:val="04A0"/>
      </w:tblPr>
      <w:tblGrid>
        <w:gridCol w:w="500"/>
        <w:gridCol w:w="1500"/>
        <w:gridCol w:w="2200"/>
        <w:gridCol w:w="3960"/>
      </w:tblGrid>
      <w:tr>
        <w:tc>
          <w:tcPr>
            <w:tcW w:w="500" w:type="dxa"/>
            <w:tcBorders>
              <w:top w:val="single" w:sz="4" w:space="0" w:color="9DB8D9"/>
              <w:start w:val="single" w:sz="4" w:space="0" w:color="9DB8D9"/>
              <w:bottom w:val="single" w:sz="4" w:space="0" w:color="9DB8D9"/>
              <w:end w:val="single" w:sz="4" w:space="0" w:color="9DB8D9"/>
            </w:tcBorders>
            <w:shd w:val="clear" w:color="auto" w:fill="D5E8F0"/>
          </w:tcPr>
          <w:p>
            <w:pPr>
              <w:spacing w:before="0" w:after="0"/>
              <w:jc w:val="left"/>
            </w:pPr>
            <w:r>
              <w:rPr>
                <w:b/>
                <w:i w:val="0"/>
                <w:color w:val="1F497D"/>
                <w:sz w:val="18"/>
              </w:rPr>
              <w:t>Tier</w:t>
            </w:r>
          </w:p>
        </w:tc>
        <w:tc>
          <w:tcPr>
            <w:tcW w:w="1500" w:type="dxa"/>
            <w:tcBorders>
              <w:top w:val="single" w:sz="4" w:space="0" w:color="9DB8D9"/>
              <w:start w:val="single" w:sz="4" w:space="0" w:color="9DB8D9"/>
              <w:bottom w:val="single" w:sz="4" w:space="0" w:color="9DB8D9"/>
              <w:end w:val="single" w:sz="4" w:space="0" w:color="9DB8D9"/>
            </w:tcBorders>
            <w:shd w:val="clear" w:color="auto" w:fill="D5E8F0"/>
          </w:tcPr>
          <w:p>
            <w:pPr>
              <w:spacing w:before="0" w:after="0"/>
              <w:jc w:val="left"/>
            </w:pPr>
            <w:r>
              <w:rPr>
                <w:b/>
                <w:i w:val="0"/>
                <w:color w:val="1F497D"/>
                <w:sz w:val="18"/>
              </w:rPr>
              <w:t>Component</w:t>
            </w:r>
          </w:p>
        </w:tc>
        <w:tc>
          <w:tcPr>
            <w:tcW w:w="2200" w:type="dxa"/>
            <w:tcBorders>
              <w:top w:val="single" w:sz="4" w:space="0" w:color="9DB8D9"/>
              <w:start w:val="single" w:sz="4" w:space="0" w:color="9DB8D9"/>
              <w:bottom w:val="single" w:sz="4" w:space="0" w:color="9DB8D9"/>
              <w:end w:val="single" w:sz="4" w:space="0" w:color="9DB8D9"/>
            </w:tcBorders>
            <w:shd w:val="clear" w:color="auto" w:fill="D5E8F0"/>
          </w:tcPr>
          <w:p>
            <w:pPr>
              <w:spacing w:before="0" w:after="0"/>
              <w:jc w:val="left"/>
            </w:pPr>
            <w:r>
              <w:rPr>
                <w:b/>
                <w:i w:val="0"/>
                <w:color w:val="1F497D"/>
                <w:sz w:val="18"/>
              </w:rPr>
              <w:t>Mandate</w:t>
            </w:r>
          </w:p>
        </w:tc>
        <w:tc>
          <w:tcPr>
            <w:tcW w:w="3960" w:type="dxa"/>
            <w:tcBorders>
              <w:top w:val="single" w:sz="4" w:space="0" w:color="9DB8D9"/>
              <w:start w:val="single" w:sz="4" w:space="0" w:color="9DB8D9"/>
              <w:bottom w:val="single" w:sz="4" w:space="0" w:color="9DB8D9"/>
              <w:end w:val="single" w:sz="4" w:space="0" w:color="9DB8D9"/>
            </w:tcBorders>
            <w:shd w:val="clear" w:color="auto" w:fill="D5E8F0"/>
          </w:tcPr>
          <w:p>
            <w:pPr>
              <w:spacing w:before="0" w:after="0"/>
              <w:jc w:val="left"/>
            </w:pPr>
            <w:r>
              <w:rPr>
                <w:b/>
                <w:i w:val="0"/>
                <w:color w:val="1F497D"/>
                <w:sz w:val="18"/>
              </w:rPr>
              <w:t>Key Capabilities</w:t>
            </w:r>
          </w:p>
        </w:tc>
      </w:tr>
      <w:tr>
        <w:tc>
          <w:tcPr>
            <w:tcW w:w="5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1</w:t>
            </w:r>
          </w:p>
        </w:tc>
        <w:tc>
          <w:tcPr>
            <w:tcW w:w="15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Microsoft Purview</w:t>
            </w:r>
          </w:p>
        </w:tc>
        <w:tc>
          <w:tcPr>
            <w:tcW w:w="22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Enterprise governance authority — system of record</w:t>
            </w:r>
          </w:p>
        </w:tc>
        <w:tc>
          <w:tcPr>
            <w:tcW w:w="396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Business glossary, data classification, stewardship workflows, governance policy metadata, DQ Tier 1 sampling, M365 DLP integration</w:t>
            </w:r>
          </w:p>
        </w:tc>
      </w:tr>
      <w:tr>
        <w:tc>
          <w:tcPr>
            <w:tcW w:w="50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2</w:t>
            </w:r>
          </w:p>
        </w:tc>
        <w:tc>
          <w:tcPr>
            <w:tcW w:w="150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Databricks Unity Catalog</w:t>
            </w:r>
          </w:p>
        </w:tc>
        <w:tc>
          <w:tcPr>
            <w:tcW w:w="220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Runtime technical enforcement layer</w:t>
            </w:r>
          </w:p>
        </w:tc>
        <w:tc>
          <w:tcPr>
            <w:tcW w:w="396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Row-Level Security (RLS), Column-Level Security (CLS), Dynamic Data Masking (DDM), grants, column-level lineage within Databricks</w:t>
            </w:r>
          </w:p>
        </w:tc>
      </w:tr>
      <w:tr>
        <w:tc>
          <w:tcPr>
            <w:tcW w:w="5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3</w:t>
            </w:r>
          </w:p>
        </w:tc>
        <w:tc>
          <w:tcPr>
            <w:tcW w:w="15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Manta (IBM)</w:t>
            </w:r>
          </w:p>
        </w:tc>
        <w:tc>
          <w:tcPr>
            <w:tcW w:w="22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Cross-platform lineage engine</w:t>
            </w:r>
          </w:p>
        </w:tc>
        <w:tc>
          <w:tcPr>
            <w:tcW w:w="396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Code-level automated lineage across Databricks, ADF, Fabric, and SAS Viya; impact analysis and compliance evidence for regulated domains</w:t>
            </w:r>
          </w:p>
        </w:tc>
      </w:tr>
    </w:tbl>
    <w:p>
      <w:pPr>
        <w:spacing w:before="0" w:after="200"/>
      </w:pPr>
    </w:p>
    <w:p>
      <w:pPr>
        <w:pStyle w:val="Heading2"/>
      </w:pPr>
      <w:r>
        <w:rPr>
          <w:b/>
          <w:color w:val="2E75B6"/>
          <w:sz w:val="24"/>
        </w:rPr>
        <w:t>2.2 Architecture Decision AD-06: IKC Retirement</w:t>
      </w:r>
    </w:p>
    <w:p>
      <w:pPr>
        <w:spacing w:before="0" w:after="80"/>
        <w:jc w:val="left"/>
      </w:pPr>
      <w:r>
        <w:rPr>
          <w:b w:val="0"/>
          <w:i w:val="0"/>
        </w:rPr>
        <w:t>The baseline architecture decision AD-06 explicitly retires IKC glossary and classification capabilities, plans a domain-by-domain migration to Purview (Horizon 1), and schedules full IKC decommissioning in Horizon 2. The stated rationale is:</w:t>
      </w:r>
    </w:p>
    <w:p>
      <w:pPr>
        <w:pStyle w:val="ListBullet"/>
        <w:spacing w:before="20" w:after="20"/>
      </w:pPr>
      <w:r>
        <w:rPr>
          <w:color w:val="1A1A1A"/>
          <w:sz w:val="20"/>
        </w:rPr>
        <w:t>Eliminating the dual-glossary problem (IKC vs. Purview competing as governance authorities).</w:t>
      </w:r>
    </w:p>
    <w:p>
      <w:pPr>
        <w:pStyle w:val="ListBullet"/>
        <w:spacing w:before="20" w:after="20"/>
      </w:pPr>
      <w:r>
        <w:rPr>
          <w:color w:val="1A1A1A"/>
          <w:sz w:val="20"/>
        </w:rPr>
        <w:t>Reducing operational complexity: one governance authority (Purview) versus three (IKC + Purview + Manta).</w:t>
      </w:r>
    </w:p>
    <w:p>
      <w:pPr>
        <w:pStyle w:val="ListBullet"/>
        <w:spacing w:before="20" w:after="20"/>
      </w:pPr>
      <w:r>
        <w:rPr>
          <w:color w:val="1A1A1A"/>
          <w:sz w:val="20"/>
        </w:rPr>
        <w:t>Removing Cloud Pak for Data infrastructure overhead and associated IBM licensing costs.</w:t>
      </w:r>
    </w:p>
    <w:p>
      <w:pPr>
        <w:pStyle w:val="ListBullet"/>
        <w:spacing w:before="20" w:after="20"/>
      </w:pPr>
      <w:r>
        <w:rPr>
          <w:color w:val="1A1A1A"/>
          <w:sz w:val="20"/>
        </w:rPr>
        <w:t>Purview provides equivalent glossary and classification capabilities with native Azure integration.</w:t>
      </w:r>
    </w:p>
    <w:p>
      <w:pPr>
        <w:spacing w:before="0" w:after="160"/>
      </w:pPr>
    </w:p>
    <w:p>
      <w:pPr>
        <w:pStyle w:val="Heading2"/>
      </w:pPr>
      <w:r>
        <w:rPr>
          <w:b/>
          <w:color w:val="2E75B6"/>
          <w:sz w:val="24"/>
        </w:rPr>
        <w:t>2.3 Acknowledged Limitations of Purview in the Baseline</w:t>
      </w:r>
    </w:p>
    <w:p>
      <w:pPr>
        <w:spacing w:before="0" w:after="80"/>
        <w:jc w:val="left"/>
      </w:pPr>
      <w:r>
        <w:rPr>
          <w:b w:val="0"/>
          <w:i w:val="0"/>
        </w:rPr>
        <w:t>The baseline architecture itself acknowledges the following limitations of Purview, particularly relevant to the IKC comparison:</w:t>
      </w:r>
    </w:p>
    <w:p>
      <w:pPr>
        <w:pStyle w:val="ListBullet"/>
        <w:spacing w:before="20" w:after="20"/>
      </w:pPr>
      <w:r>
        <w:rPr>
          <w:b/>
          <w:color w:val="1A1A1A"/>
          <w:sz w:val="20"/>
        </w:rPr>
        <w:t xml:space="preserve">Data Quality (AD-08 trade-off): </w:t>
      </w:r>
      <w:r>
        <w:rPr>
          <w:color w:val="1A1A1A"/>
          <w:sz w:val="20"/>
        </w:rPr>
        <w:t>Purview DQ is acknowledged as "less mature than IKC for complex rules", scoped to structural and statistical checks only at the pre-Bronze ingestion gate.</w:t>
      </w:r>
    </w:p>
    <w:p>
      <w:pPr>
        <w:pStyle w:val="ListBullet"/>
        <w:spacing w:before="20" w:after="20"/>
      </w:pPr>
      <w:r>
        <w:rPr>
          <w:color w:val="1A1A1A"/>
          <w:sz w:val="20"/>
        </w:rPr>
        <w:t>Stewardship workflow depth: IKC provides more mature data product certification and governance workflow capabilities than Purview for regulated domains.</w:t>
      </w:r>
    </w:p>
    <w:p>
      <w:pPr>
        <w:pStyle w:val="ListBullet"/>
        <w:spacing w:before="20" w:after="20"/>
      </w:pPr>
      <w:r>
        <w:rPr>
          <w:color w:val="1A1A1A"/>
          <w:sz w:val="20"/>
        </w:rPr>
        <w:t>Fabric IQ dependency: The Fabric IQ evaluation path (Horizon 2) introduces a potential overlap with Purview glossary that the baseline flags as a risk requiring Architecture Board oversight.</w:t>
      </w:r>
    </w:p>
    <w:p>
      <w:pPr>
        <w:spacing w:before="0" w:after="160"/>
      </w:pPr>
    </w:p>
    <w:p>
      <w:pPr>
        <w:pStyle w:val="Heading1"/>
        <w:pageBreakBefore w:val="true"/>
      </w:pPr>
      <w:r>
        <w:rPr>
          <w:b/>
          <w:color w:val="1F497D"/>
          <w:sz w:val="28"/>
        </w:rPr>
        <w:t>3. IKC-Primary Alternative</w:t>
      </w:r>
    </w:p>
    <w:p>
      <w:pPr>
        <w:pStyle w:val="Heading2"/>
      </w:pPr>
      <w:r>
        <w:rPr>
          <w:b/>
          <w:color w:val="2E75B6"/>
          <w:sz w:val="24"/>
        </w:rPr>
        <w:t>3.1 Structural Change</w:t>
      </w:r>
    </w:p>
    <w:p>
      <w:pPr>
        <w:spacing w:before="0" w:after="160"/>
        <w:jc w:val="left"/>
      </w:pPr>
      <w:r>
        <w:rPr>
          <w:b w:val="0"/>
          <w:i w:val="0"/>
        </w:rPr>
        <w:t>The platform topology (Databricks / Fabric / SAS Viya / ADLS Gen2 / Azure) is unchanged. The Medallion architecture (Bronze / Silver / Gold), Delta Lake format, storage account structure, network topology, and cluster policies are all unchanged. The delta is governance authority at Tier 1 only.</w:t>
      </w:r>
    </w:p>
    <w:tbl>
      <w:tblPr>
        <w:tblStyle w:val="TableGrid"/>
        <w:tblW w:w="8360" w:type="dxa"/>
        <w:jc w:val="left"/>
        <w:tblLook w:firstColumn="1" w:firstRow="1" w:lastColumn="0" w:lastRow="0" w:noHBand="0" w:noVBand="1" w:val="04A0"/>
      </w:tblPr>
      <w:tblGrid>
        <w:gridCol w:w="2000"/>
        <w:gridCol w:w="3180"/>
        <w:gridCol w:w="3180"/>
      </w:tblGrid>
      <w:tr>
        <w:tc>
          <w:tcPr>
            <w:tcW w:w="2000" w:type="dxa"/>
            <w:tcBorders>
              <w:top w:val="single" w:sz="4" w:space="0" w:color="9DB8D9"/>
              <w:start w:val="single" w:sz="4" w:space="0" w:color="9DB8D9"/>
              <w:bottom w:val="single" w:sz="4" w:space="0" w:color="9DB8D9"/>
              <w:end w:val="single" w:sz="4" w:space="0" w:color="9DB8D9"/>
            </w:tcBorders>
            <w:shd w:val="clear" w:color="auto" w:fill="D5E8F0"/>
          </w:tcPr>
          <w:p>
            <w:pPr>
              <w:spacing w:before="0" w:after="0"/>
              <w:jc w:val="left"/>
            </w:pPr>
            <w:r>
              <w:rPr>
                <w:b/>
                <w:i w:val="0"/>
                <w:color w:val="1F497D"/>
                <w:sz w:val="18"/>
              </w:rPr>
              <w:t>Tier</w:t>
            </w:r>
          </w:p>
        </w:tc>
        <w:tc>
          <w:tcPr>
            <w:tcW w:w="3180" w:type="dxa"/>
            <w:tcBorders>
              <w:top w:val="single" w:sz="4" w:space="0" w:color="9DB8D9"/>
              <w:start w:val="single" w:sz="4" w:space="0" w:color="9DB8D9"/>
              <w:bottom w:val="single" w:sz="4" w:space="0" w:color="9DB8D9"/>
              <w:end w:val="single" w:sz="4" w:space="0" w:color="9DB8D9"/>
            </w:tcBorders>
            <w:shd w:val="clear" w:color="auto" w:fill="D5E8F0"/>
          </w:tcPr>
          <w:p>
            <w:pPr>
              <w:spacing w:before="0" w:after="0"/>
              <w:jc w:val="left"/>
            </w:pPr>
            <w:r>
              <w:rPr>
                <w:b/>
                <w:i w:val="0"/>
                <w:color w:val="1F497D"/>
                <w:sz w:val="18"/>
              </w:rPr>
              <w:t>Baseline (Purview-Primary)</w:t>
            </w:r>
          </w:p>
        </w:tc>
        <w:tc>
          <w:tcPr>
            <w:tcW w:w="3180" w:type="dxa"/>
            <w:tcBorders>
              <w:top w:val="single" w:sz="4" w:space="0" w:color="9DB8D9"/>
              <w:start w:val="single" w:sz="4" w:space="0" w:color="9DB8D9"/>
              <w:bottom w:val="single" w:sz="4" w:space="0" w:color="9DB8D9"/>
              <w:end w:val="single" w:sz="4" w:space="0" w:color="9DB8D9"/>
            </w:tcBorders>
            <w:shd w:val="clear" w:color="auto" w:fill="D5E8F0"/>
          </w:tcPr>
          <w:p>
            <w:pPr>
              <w:spacing w:before="0" w:after="0"/>
              <w:jc w:val="left"/>
            </w:pPr>
            <w:r>
              <w:rPr>
                <w:b/>
                <w:i w:val="0"/>
                <w:color w:val="1F497D"/>
                <w:sz w:val="18"/>
              </w:rPr>
              <w:t>Alternative (IKC-Primary)</w:t>
            </w:r>
          </w:p>
        </w:tc>
      </w:tr>
      <w:tr>
        <w:tc>
          <w:tcPr>
            <w:tcW w:w="20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Tier 1 — Enterprise Governance Authority</w:t>
            </w:r>
          </w:p>
        </w:tc>
        <w:tc>
          <w:tcPr>
            <w:tcW w:w="318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Microsoft Purview: glossary, classification, stewardship, DQ Tier 1, policy metadata</w:t>
            </w:r>
          </w:p>
        </w:tc>
        <w:tc>
          <w:tcPr>
            <w:tcW w:w="318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IBM Knowledge Catalog: glossary, classification, stewardship, DQ Tier 1, policy metadata, data product certification</w:t>
            </w:r>
          </w:p>
        </w:tc>
      </w:tr>
      <w:tr>
        <w:tc>
          <w:tcPr>
            <w:tcW w:w="200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Tier 2 — Runtime Technical Enforcement</w:t>
            </w:r>
          </w:p>
        </w:tc>
        <w:tc>
          <w:tcPr>
            <w:tcW w:w="318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Databricks Unity Catalog: RLS, CLS, DDM, grants (unchanged)</w:t>
            </w:r>
          </w:p>
        </w:tc>
        <w:tc>
          <w:tcPr>
            <w:tcW w:w="318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Databricks Unity Catalog: RLS, CLS, DDM, grants (unchanged — non-negotiable)</w:t>
            </w:r>
          </w:p>
        </w:tc>
      </w:tr>
      <w:tr>
        <w:tc>
          <w:tcPr>
            <w:tcW w:w="20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Tier 3 — Cross-Platform Lineage</w:t>
            </w:r>
          </w:p>
        </w:tc>
        <w:tc>
          <w:tcPr>
            <w:tcW w:w="318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Manta: lineage published primarily to Purview</w:t>
            </w:r>
          </w:p>
        </w:tc>
        <w:tc>
          <w:tcPr>
            <w:tcW w:w="318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Manta: lineage published primarily to IKC (optional mirror to Purview for M365 DLP alignment)</w:t>
            </w:r>
          </w:p>
        </w:tc>
      </w:tr>
      <w:tr>
        <w:tc>
          <w:tcPr>
            <w:tcW w:w="200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Auxiliary</w:t>
            </w:r>
          </w:p>
        </w:tc>
        <w:tc>
          <w:tcPr>
            <w:tcW w:w="318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N/A</w:t>
            </w:r>
          </w:p>
        </w:tc>
        <w:tc>
          <w:tcPr>
            <w:tcW w:w="318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Purview retained for M365 DLP integration only (Teams, SharePoint, email); classification taxonomy mirrored from IKC</w:t>
            </w:r>
          </w:p>
        </w:tc>
      </w:tr>
    </w:tbl>
    <w:p>
      <w:pPr>
        <w:spacing w:before="0" w:after="80"/>
      </w:pPr>
    </w:p>
    <w:p>
      <w:pPr>
        <w:spacing w:before="80" w:after="200"/>
        <w:jc w:val="left"/>
      </w:pPr>
      <w:r>
        <w:rPr>
          <w:b/>
          <w:i w:val="0"/>
        </w:rPr>
        <w:t>Control principle: IKC defines governance intent → Unity Catalog enforces at runtime → Manta provides audit lineage evidence published to IKC.</w:t>
      </w:r>
    </w:p>
    <w:p>
      <w:pPr>
        <w:pStyle w:val="Heading2"/>
      </w:pPr>
      <w:r>
        <w:rPr>
          <w:b/>
          <w:color w:val="2E75B6"/>
          <w:sz w:val="24"/>
        </w:rPr>
        <w:t>3.2 Architecture Decision Rewrites</w:t>
      </w:r>
    </w:p>
    <w:p>
      <w:pPr>
        <w:pStyle w:val="Heading3"/>
      </w:pPr>
      <w:r>
        <w:rPr>
          <w:b/>
          <w:color w:val="1F497D"/>
          <w:sz w:val="22"/>
        </w:rPr>
        <w:t>AD-05 — Governance Model</w:t>
      </w:r>
    </w:p>
    <w:p>
      <w:pPr>
        <w:spacing w:before="0" w:after="80"/>
        <w:jc w:val="left"/>
      </w:pPr>
      <w:r>
        <w:rPr>
          <w:b w:val="0"/>
          <w:i/>
        </w:rPr>
        <w:t>Current decision: Three-tier catalog with Purview (enterprise), Unity Catalog (enforcement), Manta (lineage).</w:t>
      </w:r>
    </w:p>
    <w:p>
      <w:pPr>
        <w:spacing w:before="0" w:after="80"/>
        <w:jc w:val="left"/>
      </w:pPr>
      <w:r>
        <w:rPr>
          <w:b w:val="0"/>
          <w:i w:val="0"/>
        </w:rPr>
        <w:t>Proposed rewrite: Three-tier catalog with IKC as the enterprise governance authority, Unity Catalog as the mandatory runtime technical enforcement layer, and Manta as the cross-platform lineage engine. IKC is the system of record for business glossary, data classification, stewardship workflows, governance policy metadata, and data product certification metadata. Unity Catalog enforcement of RLS, CLS, and DDM is independent of and not replaceable by IKC.</w:t>
      </w:r>
    </w:p>
    <w:p>
      <w:pPr>
        <w:spacing w:before="0" w:after="200"/>
        <w:jc w:val="left"/>
      </w:pPr>
      <w:r>
        <w:rPr>
          <w:b w:val="0"/>
          <w:i/>
        </w:rPr>
        <w:t>Consequences: A new IKC-to-Unity Catalog classification and policy propagation pipeline becomes a mandatory platform dependency. Latency and drift in this pipeline is the principal operational risk.</w:t>
      </w:r>
    </w:p>
    <w:p>
      <w:pPr>
        <w:pStyle w:val="Heading3"/>
      </w:pPr>
      <w:r>
        <w:rPr>
          <w:b/>
          <w:color w:val="1F497D"/>
          <w:sz w:val="22"/>
        </w:rPr>
        <w:t>AD-06 — Catalog Rationalization</w:t>
      </w:r>
    </w:p>
    <w:p>
      <w:pPr>
        <w:spacing w:before="0" w:after="80"/>
        <w:jc w:val="left"/>
      </w:pPr>
      <w:r>
        <w:rPr>
          <w:b w:val="0"/>
          <w:i/>
        </w:rPr>
        <w:t>Current decision: Retire IKC glossary and classification; migrate to Purview; retain Manta only; decommission IKC in Horizon 2.</w:t>
      </w:r>
    </w:p>
    <w:p>
      <w:pPr>
        <w:spacing w:before="0" w:after="80"/>
        <w:jc w:val="left"/>
      </w:pPr>
      <w:r>
        <w:rPr>
          <w:b w:val="0"/>
          <w:i w:val="0"/>
        </w:rPr>
        <w:t>Proposed rewrite: Retain IKC as primary catalog and classification authority. Cancel the IKC-to-Purview glossary migration planned for Horizon 1. Cancel the IKC decommission scheduled for Horizon 2. Reposition Purview to auxiliary scope: M365 DLP integration only. A lightweight classification taxonomy mirror from IKC to Purview is required to sustain M365 DLP policy enforcement — this is a narrow, automatable synchronization, not full glossary replication.</w:t>
      </w:r>
    </w:p>
    <w:p>
      <w:pPr>
        <w:spacing w:before="0" w:after="200"/>
        <w:jc w:val="left"/>
      </w:pPr>
      <w:r>
        <w:rPr>
          <w:b w:val="0"/>
          <w:i/>
        </w:rPr>
        <w:t>Consequences: IBM licensing and Cloud Pak for Data operational costs are retained. The Horizon 1 migration effort is avoided, representing a significant delivery capacity saving. IBM enterprise agreement terms must be re-confirmed to validate licensing scope for IKC in this role.</w:t>
      </w:r>
    </w:p>
    <w:p>
      <w:pPr>
        <w:pStyle w:val="Heading3"/>
      </w:pPr>
      <w:r>
        <w:rPr>
          <w:b/>
          <w:color w:val="1F497D"/>
          <w:sz w:val="22"/>
        </w:rPr>
        <w:t>AD-08 — Data Quality Model</w:t>
      </w:r>
    </w:p>
    <w:p>
      <w:pPr>
        <w:spacing w:before="0" w:after="80"/>
        <w:jc w:val="left"/>
      </w:pPr>
      <w:r>
        <w:rPr>
          <w:b w:val="0"/>
          <w:i/>
        </w:rPr>
        <w:t>Current decision: Three-tier DQ — Purview sampling at pre-Bronze ingestion (Tier 1), DLT Expectations at Bronze-to-Silver and Silver-to-Gold (Tier 2), SLA checks at Gold publication (Tier 3).</w:t>
      </w:r>
    </w:p>
    <w:p>
      <w:pPr>
        <w:spacing w:before="0" w:after="80"/>
        <w:jc w:val="left"/>
      </w:pPr>
      <w:r>
        <w:rPr>
          <w:b w:val="0"/>
          <w:i w:val="0"/>
        </w:rPr>
        <w:t>Proposed rewrite: Three-tier DQ with IKC DQ profiling and rule execution replacing Purview sampling at the pre-Bronze ingestion gate (Tier 1). DLT Expectations and Great Expectations at layer transitions remain unchanged (Tier 2). Gold SLA checks remain unchanged (Tier 3). IKC becomes the unified DQ scorecard and certification authority — DQ outcomes from all three tiers flow back into IKC as data product health metadata.</w:t>
      </w:r>
    </w:p>
    <w:p>
      <w:pPr>
        <w:spacing w:before="0" w:after="200"/>
        <w:jc w:val="left"/>
      </w:pPr>
      <w:r>
        <w:rPr>
          <w:b w:val="0"/>
          <w:i/>
        </w:rPr>
        <w:t>Rationale: IKC DQ profiling supports more complex business rule definitions and richer quality dashboards than the current Purview DQ capability, which the baseline itself acknowledges as structurally limited to sampling-based statistical checks. Consequences: Tier 1 DQ pipeline and orchestration must be re-implemented against IKC DQ APIs; existing Purview DQ configurations are retired.</w:t>
      </w:r>
    </w:p>
    <w:p>
      <w:pPr>
        <w:pStyle w:val="Heading2"/>
      </w:pPr>
      <w:r>
        <w:rPr>
          <w:b/>
          <w:color w:val="2E75B6"/>
          <w:sz w:val="24"/>
        </w:rPr>
        <w:t>3.3 Integration Architecture</w:t>
      </w:r>
    </w:p>
    <w:p>
      <w:pPr>
        <w:spacing w:before="0" w:after="160"/>
        <w:jc w:val="left"/>
      </w:pPr>
      <w:r>
        <w:rPr>
          <w:b w:val="0"/>
          <w:i w:val="0"/>
        </w:rPr>
        <w:t>The principal engineering challenge in this alternative is the IKC-to-Unity Catalog policy propagation pipeline, which has no equivalent in the baseline. Three integration paths are required:</w:t>
      </w:r>
    </w:p>
    <w:tbl>
      <w:tblPr>
        <w:tblStyle w:val="TableGrid"/>
        <w:tblW w:w="8160" w:type="dxa"/>
        <w:jc w:val="left"/>
        <w:tblLook w:firstColumn="1" w:firstRow="1" w:lastColumn="0" w:lastRow="0" w:noHBand="0" w:noVBand="1" w:val="04A0"/>
      </w:tblPr>
      <w:tblGrid>
        <w:gridCol w:w="1500"/>
        <w:gridCol w:w="1300"/>
        <w:gridCol w:w="2100"/>
        <w:gridCol w:w="900"/>
        <w:gridCol w:w="2360"/>
      </w:tblGrid>
      <w:tr>
        <w:tc>
          <w:tcPr>
            <w:tcW w:w="1500" w:type="dxa"/>
            <w:tcBorders>
              <w:top w:val="single" w:sz="4" w:space="0" w:color="9DB8D9"/>
              <w:start w:val="single" w:sz="4" w:space="0" w:color="9DB8D9"/>
              <w:bottom w:val="single" w:sz="4" w:space="0" w:color="9DB8D9"/>
              <w:end w:val="single" w:sz="4" w:space="0" w:color="9DB8D9"/>
            </w:tcBorders>
            <w:shd w:val="clear" w:color="auto" w:fill="D5E8F0"/>
          </w:tcPr>
          <w:p>
            <w:pPr>
              <w:spacing w:before="0" w:after="0"/>
              <w:jc w:val="left"/>
            </w:pPr>
            <w:r>
              <w:rPr>
                <w:b/>
                <w:i w:val="0"/>
                <w:color w:val="1F497D"/>
                <w:sz w:val="18"/>
              </w:rPr>
              <w:t>Integration Path</w:t>
            </w:r>
          </w:p>
        </w:tc>
        <w:tc>
          <w:tcPr>
            <w:tcW w:w="1300" w:type="dxa"/>
            <w:tcBorders>
              <w:top w:val="single" w:sz="4" w:space="0" w:color="9DB8D9"/>
              <w:start w:val="single" w:sz="4" w:space="0" w:color="9DB8D9"/>
              <w:bottom w:val="single" w:sz="4" w:space="0" w:color="9DB8D9"/>
              <w:end w:val="single" w:sz="4" w:space="0" w:color="9DB8D9"/>
            </w:tcBorders>
            <w:shd w:val="clear" w:color="auto" w:fill="D5E8F0"/>
          </w:tcPr>
          <w:p>
            <w:pPr>
              <w:spacing w:before="0" w:after="0"/>
              <w:jc w:val="left"/>
            </w:pPr>
            <w:r>
              <w:rPr>
                <w:b/>
                <w:i w:val="0"/>
                <w:color w:val="1F497D"/>
                <w:sz w:val="18"/>
              </w:rPr>
              <w:t>Direction</w:t>
            </w:r>
          </w:p>
        </w:tc>
        <w:tc>
          <w:tcPr>
            <w:tcW w:w="2100" w:type="dxa"/>
            <w:tcBorders>
              <w:top w:val="single" w:sz="4" w:space="0" w:color="9DB8D9"/>
              <w:start w:val="single" w:sz="4" w:space="0" w:color="9DB8D9"/>
              <w:bottom w:val="single" w:sz="4" w:space="0" w:color="9DB8D9"/>
              <w:end w:val="single" w:sz="4" w:space="0" w:color="9DB8D9"/>
            </w:tcBorders>
            <w:shd w:val="clear" w:color="auto" w:fill="D5E8F0"/>
          </w:tcPr>
          <w:p>
            <w:pPr>
              <w:spacing w:before="0" w:after="0"/>
              <w:jc w:val="left"/>
            </w:pPr>
            <w:r>
              <w:rPr>
                <w:b/>
                <w:i w:val="0"/>
                <w:color w:val="1F497D"/>
                <w:sz w:val="18"/>
              </w:rPr>
              <w:t>Mechanism</w:t>
            </w:r>
          </w:p>
        </w:tc>
        <w:tc>
          <w:tcPr>
            <w:tcW w:w="900" w:type="dxa"/>
            <w:tcBorders>
              <w:top w:val="single" w:sz="4" w:space="0" w:color="9DB8D9"/>
              <w:start w:val="single" w:sz="4" w:space="0" w:color="9DB8D9"/>
              <w:bottom w:val="single" w:sz="4" w:space="0" w:color="9DB8D9"/>
              <w:end w:val="single" w:sz="4" w:space="0" w:color="9DB8D9"/>
            </w:tcBorders>
            <w:shd w:val="clear" w:color="auto" w:fill="D5E8F0"/>
          </w:tcPr>
          <w:p>
            <w:pPr>
              <w:spacing w:before="0" w:after="0"/>
              <w:jc w:val="left"/>
            </w:pPr>
            <w:r>
              <w:rPr>
                <w:b/>
                <w:i w:val="0"/>
                <w:color w:val="1F497D"/>
                <w:sz w:val="18"/>
              </w:rPr>
              <w:t>Criticality</w:t>
            </w:r>
          </w:p>
        </w:tc>
        <w:tc>
          <w:tcPr>
            <w:tcW w:w="2360" w:type="dxa"/>
            <w:tcBorders>
              <w:top w:val="single" w:sz="4" w:space="0" w:color="9DB8D9"/>
              <w:start w:val="single" w:sz="4" w:space="0" w:color="9DB8D9"/>
              <w:bottom w:val="single" w:sz="4" w:space="0" w:color="9DB8D9"/>
              <w:end w:val="single" w:sz="4" w:space="0" w:color="9DB8D9"/>
            </w:tcBorders>
            <w:shd w:val="clear" w:color="auto" w:fill="D5E8F0"/>
          </w:tcPr>
          <w:p>
            <w:pPr>
              <w:spacing w:before="0" w:after="0"/>
              <w:jc w:val="left"/>
            </w:pPr>
            <w:r>
              <w:rPr>
                <w:b/>
                <w:i w:val="0"/>
                <w:color w:val="1F497D"/>
                <w:sz w:val="18"/>
              </w:rPr>
              <w:t>Risk</w:t>
            </w:r>
          </w:p>
        </w:tc>
      </w:tr>
      <w:tr>
        <w:tc>
          <w:tcPr>
            <w:tcW w:w="15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Classification sync</w:t>
            </w:r>
          </w:p>
        </w:tc>
        <w:tc>
          <w:tcPr>
            <w:tcW w:w="13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IKC → Unity Catalog</w:t>
            </w:r>
          </w:p>
        </w:tc>
        <w:tc>
          <w:tcPr>
            <w:tcW w:w="21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Scheduled sync job via IKC REST API → Unity Catalog REST API. Propagates classification changes to UC policy tags.</w:t>
            </w:r>
          </w:p>
        </w:tc>
        <w:tc>
          <w:tcPr>
            <w:tcW w:w="9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Critical</w:t>
            </w:r>
          </w:p>
        </w:tc>
        <w:tc>
          <w:tcPr>
            <w:tcW w:w="236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Temporal drift: classification update in IKC may not propagate to UC before next data access. Mandatory drift alerts.</w:t>
            </w:r>
          </w:p>
        </w:tc>
      </w:tr>
      <w:tr>
        <w:tc>
          <w:tcPr>
            <w:tcW w:w="150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Manta lineage publication</w:t>
            </w:r>
          </w:p>
        </w:tc>
        <w:tc>
          <w:tcPr>
            <w:tcW w:w="130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Manta → IKC (primary)</w:t>
            </w:r>
          </w:p>
        </w:tc>
        <w:tc>
          <w:tcPr>
            <w:tcW w:w="210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Configuration change in Manta: IKC as primary lineage consumer. Purview lineage publication disabled or selectively mirrored.</w:t>
            </w:r>
          </w:p>
        </w:tc>
        <w:tc>
          <w:tcPr>
            <w:tcW w:w="90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High</w:t>
            </w:r>
          </w:p>
        </w:tc>
        <w:tc>
          <w:tcPr>
            <w:tcW w:w="236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Low risk. Manta natively supports IKC as publication target. Configuration change only.</w:t>
            </w:r>
          </w:p>
        </w:tc>
      </w:tr>
      <w:tr>
        <w:tc>
          <w:tcPr>
            <w:tcW w:w="15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Purview DLP residual sync</w:t>
            </w:r>
          </w:p>
        </w:tc>
        <w:tc>
          <w:tcPr>
            <w:tcW w:w="13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IKC → Purview (classification taxonomy only)</w:t>
            </w:r>
          </w:p>
        </w:tc>
        <w:tc>
          <w:tcPr>
            <w:tcW w:w="21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Lightweight mirror of classification taxonomy (labels only, not full glossary) to sustain Purview M365 DLP policies.</w:t>
            </w:r>
          </w:p>
        </w:tc>
        <w:tc>
          <w:tcPr>
            <w:tcW w:w="9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Medium</w:t>
            </w:r>
          </w:p>
        </w:tc>
        <w:tc>
          <w:tcPr>
            <w:tcW w:w="236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Scope creep risk: must be kept strictly limited to classification labels to avoid recreating dual-glossary problem.</w:t>
            </w:r>
          </w:p>
        </w:tc>
      </w:tr>
    </w:tbl>
    <w:p>
      <w:pPr>
        <w:spacing w:before="0" w:after="200"/>
      </w:pPr>
    </w:p>
    <w:p>
      <w:pPr>
        <w:pStyle w:val="Heading2"/>
      </w:pPr>
      <w:r>
        <w:rPr>
          <w:b/>
          <w:color w:val="2E75B6"/>
          <w:sz w:val="24"/>
        </w:rPr>
        <w:t>3.4 What Remains Unchanged</w:t>
      </w:r>
    </w:p>
    <w:p>
      <w:pPr>
        <w:spacing w:before="0" w:after="80"/>
        <w:jc w:val="left"/>
      </w:pPr>
      <w:r>
        <w:rPr>
          <w:b w:val="0"/>
          <w:i w:val="0"/>
        </w:rPr>
        <w:t>The following elements of the baseline architecture are unaffected by this alternative and must not be modified as part of the governance transition:</w:t>
      </w:r>
    </w:p>
    <w:p>
      <w:pPr>
        <w:pStyle w:val="ListBullet"/>
        <w:spacing w:before="20" w:after="20"/>
      </w:pPr>
      <w:r>
        <w:rPr>
          <w:color w:val="1A1A1A"/>
          <w:sz w:val="20"/>
        </w:rPr>
        <w:t>Unity Catalog as the sole runtime enforcement layer for RLS, CLS, and DDM. No data access path bypasses it. IKC governs intent; Unity Catalog enforces at execution time.</w:t>
      </w:r>
    </w:p>
    <w:p>
      <w:pPr>
        <w:pStyle w:val="ListBullet"/>
        <w:spacing w:before="20" w:after="20"/>
      </w:pPr>
      <w:r>
        <w:rPr>
          <w:color w:val="1A1A1A"/>
          <w:sz w:val="20"/>
        </w:rPr>
        <w:t>SAS Viya JDBC mandatory path for sensitive datasets. The two-path security model (direct ADLS for non-sensitive pre-authorized paths; JDBC for sensitive reads) is fully preserved.</w:t>
      </w:r>
    </w:p>
    <w:p>
      <w:pPr>
        <w:pStyle w:val="ListBullet"/>
        <w:spacing w:before="20" w:after="20"/>
      </w:pPr>
      <w:r>
        <w:rPr>
          <w:color w:val="1A1A1A"/>
          <w:sz w:val="20"/>
        </w:rPr>
        <w:t>Bronze / Silver / Gold Medallion architecture, Delta Lake format, ADLS account topology and lifecycle policies.</w:t>
      </w:r>
    </w:p>
    <w:p>
      <w:pPr>
        <w:pStyle w:val="ListBullet"/>
        <w:spacing w:before="20" w:after="20"/>
      </w:pPr>
      <w:r>
        <w:rPr>
          <w:color w:val="1A1A1A"/>
          <w:sz w:val="20"/>
        </w:rPr>
        <w:t>Microsoft Fabric scoped strictly as the BI serving layer. Power BI Direct Lake consumption pattern unchanged.</w:t>
      </w:r>
    </w:p>
    <w:p>
      <w:pPr>
        <w:pStyle w:val="ListBullet"/>
        <w:spacing w:before="20" w:after="20"/>
      </w:pPr>
      <w:r>
        <w:rPr>
          <w:color w:val="1A1A1A"/>
          <w:sz w:val="20"/>
        </w:rPr>
        <w:t>DLT Expectations (DQ Tier 2) at Bronze-to-Silver and Silver-to-Gold transitions.</w:t>
      </w:r>
    </w:p>
    <w:p>
      <w:pPr>
        <w:pStyle w:val="ListBullet"/>
        <w:spacing w:before="20" w:after="20"/>
      </w:pPr>
      <w:r>
        <w:rPr>
          <w:color w:val="1A1A1A"/>
          <w:sz w:val="20"/>
        </w:rPr>
        <w:t>Gold SLA checks (DQ Tier 3) at data product publication.</w:t>
      </w:r>
    </w:p>
    <w:p>
      <w:pPr>
        <w:pStyle w:val="ListBullet"/>
        <w:spacing w:before="20" w:after="20"/>
      </w:pPr>
      <w:r>
        <w:rPr>
          <w:color w:val="1A1A1A"/>
          <w:sz w:val="20"/>
        </w:rPr>
        <w:t>Databricks cluster policies, workload separation (data engineering / analytics / MLOps workspaces), and FinOps chargeback model.</w:t>
      </w:r>
    </w:p>
    <w:p>
      <w:pPr>
        <w:spacing w:before="0" w:after="160"/>
      </w:pPr>
    </w:p>
    <w:p>
      <w:pPr>
        <w:pStyle w:val="Heading1"/>
        <w:pageBreakBefore w:val="true"/>
      </w:pPr>
      <w:r>
        <w:rPr>
          <w:b/>
          <w:color w:val="1F497D"/>
          <w:sz w:val="28"/>
        </w:rPr>
        <w:t>4. Comparative Analysis</w:t>
      </w:r>
    </w:p>
    <w:p>
      <w:pPr>
        <w:pStyle w:val="Heading2"/>
      </w:pPr>
      <w:r>
        <w:rPr>
          <w:b/>
          <w:color w:val="2E75B6"/>
          <w:sz w:val="24"/>
        </w:rPr>
        <w:t>4.1 Strengths of IKC-Primary</w:t>
      </w:r>
    </w:p>
    <w:p>
      <w:pPr>
        <w:pStyle w:val="ListBullet"/>
        <w:spacing w:before="20" w:after="20"/>
      </w:pPr>
      <w:r>
        <w:rPr>
          <w:b/>
          <w:color w:val="1A1A1A"/>
          <w:sz w:val="20"/>
        </w:rPr>
        <w:t xml:space="preserve">Preserved IBM governance investment: </w:t>
      </w:r>
      <w:r>
        <w:rPr>
          <w:color w:val="1A1A1A"/>
          <w:sz w:val="20"/>
        </w:rPr>
        <w:t>Existing IKC workflows, taxonomy definitions, stewardship processes, and team expertise are retained without a disruptive migration. The Horizon 1 migration effort (IKC → Purview, domain-by-domain) is avoided entirely, freeing delivery capacity.</w:t>
      </w:r>
    </w:p>
    <w:p>
      <w:pPr>
        <w:pStyle w:val="ListBullet"/>
        <w:spacing w:before="20" w:after="20"/>
      </w:pPr>
      <w:r>
        <w:rPr>
          <w:b/>
          <w:color w:val="1A1A1A"/>
          <w:sz w:val="20"/>
        </w:rPr>
        <w:t xml:space="preserve">Superior Data Quality capability: </w:t>
      </w:r>
      <w:r>
        <w:rPr>
          <w:color w:val="1A1A1A"/>
          <w:sz w:val="20"/>
        </w:rPr>
        <w:t>IKC DQ profiling supports more complex business rule definitions, richer quality dashboards, and deeper profiling than Purview DQ — a limitation the baseline architecture explicitly acknowledges. This is particularly relevant for Greenfield's regulated domains (actuarial, IFRS 17, AMF).</w:t>
      </w:r>
    </w:p>
    <w:p>
      <w:pPr>
        <w:pStyle w:val="ListBullet"/>
        <w:spacing w:before="20" w:after="20"/>
      </w:pPr>
      <w:r>
        <w:rPr>
          <w:b/>
          <w:color w:val="1A1A1A"/>
          <w:sz w:val="20"/>
        </w:rPr>
        <w:t xml:space="preserve">Data product certification maturity: </w:t>
      </w:r>
      <w:r>
        <w:rPr>
          <w:color w:val="1A1A1A"/>
          <w:sz w:val="20"/>
        </w:rPr>
        <w:t>IKC's data product marketplace and certification workflow capabilities exceed Purview's current offering, aligning better with the Gold-layer data product lifecycle (Customer 360, Reference Data Hub, Risk Feature Store, Financial Aggregates).</w:t>
      </w:r>
    </w:p>
    <w:p>
      <w:pPr>
        <w:pStyle w:val="ListBullet"/>
        <w:spacing w:before="20" w:after="20"/>
      </w:pPr>
      <w:r>
        <w:rPr>
          <w:b/>
          <w:color w:val="1A1A1A"/>
          <w:sz w:val="20"/>
        </w:rPr>
        <w:t xml:space="preserve">Reduced Horizon 1 scope: </w:t>
      </w:r>
      <w:r>
        <w:rPr>
          <w:color w:val="1A1A1A"/>
          <w:sz w:val="20"/>
        </w:rPr>
        <w:t>Cancelling the IKC-to-Purview migration removes a high-risk, effort-intensive workstream from Horizon 1 without degrading governance outcomes, provided the IKC-Unity integration pipeline is delivered.</w:t>
      </w:r>
    </w:p>
    <w:p>
      <w:pPr>
        <w:pStyle w:val="ListBullet"/>
        <w:spacing w:before="20" w:after="20"/>
      </w:pPr>
      <w:r>
        <w:rPr>
          <w:b/>
          <w:color w:val="1A1A1A"/>
          <w:sz w:val="20"/>
        </w:rPr>
        <w:t xml:space="preserve">Regulated domain alignment: </w:t>
      </w:r>
      <w:r>
        <w:rPr>
          <w:color w:val="1A1A1A"/>
          <w:sz w:val="20"/>
        </w:rPr>
        <w:t>IKC's governance workflows are familiar to teams operating under AMF, OSFI, and Law 25 constraints in the IBM toolchain context. Change management overhead for stewards is lower than a Purview transition.</w:t>
      </w:r>
    </w:p>
    <w:p>
      <w:pPr>
        <w:spacing w:before="0" w:after="160"/>
      </w:pPr>
    </w:p>
    <w:p>
      <w:pPr>
        <w:pStyle w:val="Heading2"/>
      </w:pPr>
      <w:r>
        <w:rPr>
          <w:b/>
          <w:color w:val="2E75B6"/>
          <w:sz w:val="24"/>
        </w:rPr>
        <w:t>4.2 Weaknesses and Risks</w:t>
      </w:r>
    </w:p>
    <w:tbl>
      <w:tblPr>
        <w:tblStyle w:val="TableGrid"/>
        <w:tblW w:w="8160" w:type="dxa"/>
        <w:jc w:val="left"/>
        <w:tblLook w:firstColumn="1" w:firstRow="1" w:lastColumn="0" w:lastRow="0" w:noHBand="0" w:noVBand="1" w:val="04A0"/>
      </w:tblPr>
      <w:tblGrid>
        <w:gridCol w:w="2200"/>
        <w:gridCol w:w="1300"/>
        <w:gridCol w:w="700"/>
        <w:gridCol w:w="3960"/>
      </w:tblGrid>
      <w:tr>
        <w:tc>
          <w:tcPr>
            <w:tcW w:w="2200" w:type="dxa"/>
            <w:tcBorders>
              <w:top w:val="single" w:sz="4" w:space="0" w:color="9DB8D9"/>
              <w:start w:val="single" w:sz="4" w:space="0" w:color="9DB8D9"/>
              <w:bottom w:val="single" w:sz="4" w:space="0" w:color="9DB8D9"/>
              <w:end w:val="single" w:sz="4" w:space="0" w:color="9DB8D9"/>
            </w:tcBorders>
            <w:shd w:val="clear" w:color="auto" w:fill="D5E8F0"/>
          </w:tcPr>
          <w:p>
            <w:pPr>
              <w:spacing w:before="0" w:after="0"/>
              <w:jc w:val="left"/>
            </w:pPr>
            <w:r>
              <w:rPr>
                <w:b/>
                <w:i w:val="0"/>
                <w:color w:val="1F497D"/>
                <w:sz w:val="18"/>
              </w:rPr>
              <w:t>Risk</w:t>
            </w:r>
          </w:p>
        </w:tc>
        <w:tc>
          <w:tcPr>
            <w:tcW w:w="1300" w:type="dxa"/>
            <w:tcBorders>
              <w:top w:val="single" w:sz="4" w:space="0" w:color="9DB8D9"/>
              <w:start w:val="single" w:sz="4" w:space="0" w:color="9DB8D9"/>
              <w:bottom w:val="single" w:sz="4" w:space="0" w:color="9DB8D9"/>
              <w:end w:val="single" w:sz="4" w:space="0" w:color="9DB8D9"/>
            </w:tcBorders>
            <w:shd w:val="clear" w:color="auto" w:fill="D5E8F0"/>
          </w:tcPr>
          <w:p>
            <w:pPr>
              <w:spacing w:before="0" w:after="0"/>
              <w:jc w:val="left"/>
            </w:pPr>
            <w:r>
              <w:rPr>
                <w:b/>
                <w:i w:val="0"/>
                <w:color w:val="1F497D"/>
                <w:sz w:val="18"/>
              </w:rPr>
              <w:t>Category</w:t>
            </w:r>
          </w:p>
        </w:tc>
        <w:tc>
          <w:tcPr>
            <w:tcW w:w="700" w:type="dxa"/>
            <w:tcBorders>
              <w:top w:val="single" w:sz="4" w:space="0" w:color="9DB8D9"/>
              <w:start w:val="single" w:sz="4" w:space="0" w:color="9DB8D9"/>
              <w:bottom w:val="single" w:sz="4" w:space="0" w:color="9DB8D9"/>
              <w:end w:val="single" w:sz="4" w:space="0" w:color="9DB8D9"/>
            </w:tcBorders>
            <w:shd w:val="clear" w:color="auto" w:fill="D5E8F0"/>
          </w:tcPr>
          <w:p>
            <w:pPr>
              <w:spacing w:before="0" w:after="0"/>
              <w:jc w:val="left"/>
            </w:pPr>
            <w:r>
              <w:rPr>
                <w:b/>
                <w:i w:val="0"/>
                <w:color w:val="1F497D"/>
                <w:sz w:val="18"/>
              </w:rPr>
              <w:t>Impact</w:t>
            </w:r>
          </w:p>
        </w:tc>
        <w:tc>
          <w:tcPr>
            <w:tcW w:w="3960" w:type="dxa"/>
            <w:tcBorders>
              <w:top w:val="single" w:sz="4" w:space="0" w:color="9DB8D9"/>
              <w:start w:val="single" w:sz="4" w:space="0" w:color="9DB8D9"/>
              <w:bottom w:val="single" w:sz="4" w:space="0" w:color="9DB8D9"/>
              <w:end w:val="single" w:sz="4" w:space="0" w:color="9DB8D9"/>
            </w:tcBorders>
            <w:shd w:val="clear" w:color="auto" w:fill="D5E8F0"/>
          </w:tcPr>
          <w:p>
            <w:pPr>
              <w:spacing w:before="0" w:after="0"/>
              <w:jc w:val="left"/>
            </w:pPr>
            <w:r>
              <w:rPr>
                <w:b/>
                <w:i w:val="0"/>
                <w:color w:val="1F497D"/>
                <w:sz w:val="18"/>
              </w:rPr>
              <w:t>Mitigation</w:t>
            </w:r>
          </w:p>
        </w:tc>
      </w:tr>
      <w:tr>
        <w:tc>
          <w:tcPr>
            <w:tcW w:w="22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IKC → Unity Catalog classification sync drift: temporal gap between governance intent change in IKC and runtime enforcement update in Unity Catalog</w:t>
            </w:r>
          </w:p>
        </w:tc>
        <w:tc>
          <w:tcPr>
            <w:tcW w:w="13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Security / Compliance</w:t>
            </w:r>
          </w:p>
        </w:tc>
        <w:tc>
          <w:tcPr>
            <w:tcW w:w="7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High</w:t>
            </w:r>
          </w:p>
        </w:tc>
        <w:tc>
          <w:tcPr>
            <w:tcW w:w="396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Automated reconciliation jobs, drift alerting, mandatory SLA on propagation latency. Security review gate (G2) before go-live on any Restricted domain.</w:t>
            </w:r>
          </w:p>
        </w:tc>
      </w:tr>
      <w:tr>
        <w:tc>
          <w:tcPr>
            <w:tcW w:w="220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Azure-native integration friction: Purview integrates natively with Fabric semantic model governance and Azure Policy; IKC-primary requires custom integration layers for these surfaces</w:t>
            </w:r>
          </w:p>
        </w:tc>
        <w:tc>
          <w:tcPr>
            <w:tcW w:w="130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Architecture Complexity</w:t>
            </w:r>
          </w:p>
        </w:tc>
        <w:tc>
          <w:tcPr>
            <w:tcW w:w="70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Medium</w:t>
            </w:r>
          </w:p>
        </w:tc>
        <w:tc>
          <w:tcPr>
            <w:tcW w:w="396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Fabric governance gap must be formally accepted or resolved by custom IKC-Fabric alignment; restrict Fabric IQ evaluation (Horizon 2) until integration posture is clear.</w:t>
            </w:r>
          </w:p>
        </w:tc>
      </w:tr>
      <w:tr>
        <w:tc>
          <w:tcPr>
            <w:tcW w:w="22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Purview DLP residual sync scope creep: classification-only mirror from IKC to Purview risks expanding into full glossary, recreating the dual-authority problem</w:t>
            </w:r>
          </w:p>
        </w:tc>
        <w:tc>
          <w:tcPr>
            <w:tcW w:w="13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Governance</w:t>
            </w:r>
          </w:p>
        </w:tc>
        <w:tc>
          <w:tcPr>
            <w:tcW w:w="7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Medium</w:t>
            </w:r>
          </w:p>
        </w:tc>
        <w:tc>
          <w:tcPr>
            <w:tcW w:w="396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Hard contract on Purview scope (DLP only). Architecture review gate required for any expansion of Purview sync scope.</w:t>
            </w:r>
          </w:p>
        </w:tc>
      </w:tr>
      <w:tr>
        <w:tc>
          <w:tcPr>
            <w:tcW w:w="220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Cloud Pak for Data licensing and run cost: baseline explicitly retired IKC to reduce IBM footprint and cost; IKC-primary reverses this and retains the cost</w:t>
            </w:r>
          </w:p>
        </w:tc>
        <w:tc>
          <w:tcPr>
            <w:tcW w:w="130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Financial</w:t>
            </w:r>
          </w:p>
        </w:tc>
        <w:tc>
          <w:tcPr>
            <w:tcW w:w="70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Medium</w:t>
            </w:r>
          </w:p>
        </w:tc>
        <w:tc>
          <w:tcPr>
            <w:tcW w:w="396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3-year TCO analysis against Purview-primary baseline required (gate G6). IBM enterprise agreement must be re-validated for IKC in governance authority role.</w:t>
            </w:r>
          </w:p>
        </w:tc>
      </w:tr>
      <w:tr>
        <w:tc>
          <w:tcPr>
            <w:tcW w:w="22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Increased governance stack operational complexity: three integrated systems (IKC, Unity Catalog, Manta) plus residual Purview require dedicated integration operations ownership</w:t>
            </w:r>
          </w:p>
        </w:tc>
        <w:tc>
          <w:tcPr>
            <w:tcW w:w="13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Operations</w:t>
            </w:r>
          </w:p>
        </w:tc>
        <w:tc>
          <w:tcPr>
            <w:tcW w:w="7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Medium</w:t>
            </w:r>
          </w:p>
        </w:tc>
        <w:tc>
          <w:tcPr>
            <w:tcW w:w="396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Assign explicit platform operations ownership for IKC-UC sync pipeline. Include in FinOps chargeback model. Define runbooks before production cutover.</w:t>
            </w:r>
          </w:p>
        </w:tc>
      </w:tr>
    </w:tbl>
    <w:p>
      <w:pPr>
        <w:spacing w:before="0" w:after="200"/>
      </w:pPr>
    </w:p>
    <w:p>
      <w:pPr>
        <w:pStyle w:val="Heading2"/>
      </w:pPr>
      <w:r>
        <w:rPr>
          <w:b/>
          <w:color w:val="2E75B6"/>
          <w:sz w:val="24"/>
        </w:rPr>
        <w:t>4.3 Side-by-Side Operating Model</w:t>
      </w:r>
    </w:p>
    <w:tbl>
      <w:tblPr>
        <w:tblStyle w:val="TableGrid"/>
        <w:tblW w:w="8160" w:type="dxa"/>
        <w:jc w:val="left"/>
        <w:tblLook w:firstColumn="1" w:firstRow="1" w:lastColumn="0" w:lastRow="0" w:noHBand="0" w:noVBand="1" w:val="04A0"/>
      </w:tblPr>
      <w:tblGrid>
        <w:gridCol w:w="2400"/>
        <w:gridCol w:w="2880"/>
        <w:gridCol w:w="2880"/>
      </w:tblGrid>
      <w:tr>
        <w:tc>
          <w:tcPr>
            <w:tcW w:w="2400" w:type="dxa"/>
            <w:tcBorders>
              <w:top w:val="single" w:sz="4" w:space="0" w:color="9DB8D9"/>
              <w:start w:val="single" w:sz="4" w:space="0" w:color="9DB8D9"/>
              <w:bottom w:val="single" w:sz="4" w:space="0" w:color="9DB8D9"/>
              <w:end w:val="single" w:sz="4" w:space="0" w:color="9DB8D9"/>
            </w:tcBorders>
            <w:shd w:val="clear" w:color="auto" w:fill="D5E8F0"/>
          </w:tcPr>
          <w:p>
            <w:pPr>
              <w:spacing w:before="0" w:after="0"/>
              <w:jc w:val="left"/>
            </w:pPr>
            <w:r>
              <w:rPr>
                <w:b/>
                <w:i w:val="0"/>
                <w:color w:val="1F497D"/>
                <w:sz w:val="18"/>
              </w:rPr>
              <w:t>Operating Dimension</w:t>
            </w:r>
          </w:p>
        </w:tc>
        <w:tc>
          <w:tcPr>
            <w:tcW w:w="2880" w:type="dxa"/>
            <w:tcBorders>
              <w:top w:val="single" w:sz="4" w:space="0" w:color="9DB8D9"/>
              <w:start w:val="single" w:sz="4" w:space="0" w:color="9DB8D9"/>
              <w:bottom w:val="single" w:sz="4" w:space="0" w:color="9DB8D9"/>
              <w:end w:val="single" w:sz="4" w:space="0" w:color="9DB8D9"/>
            </w:tcBorders>
            <w:shd w:val="clear" w:color="auto" w:fill="D5E8F0"/>
          </w:tcPr>
          <w:p>
            <w:pPr>
              <w:spacing w:before="0" w:after="0"/>
              <w:jc w:val="left"/>
            </w:pPr>
            <w:r>
              <w:rPr>
                <w:b/>
                <w:i w:val="0"/>
                <w:color w:val="1F497D"/>
                <w:sz w:val="18"/>
              </w:rPr>
              <w:t>Purview-Primary (Baseline)</w:t>
            </w:r>
          </w:p>
        </w:tc>
        <w:tc>
          <w:tcPr>
            <w:tcW w:w="2880" w:type="dxa"/>
            <w:tcBorders>
              <w:top w:val="single" w:sz="4" w:space="0" w:color="9DB8D9"/>
              <w:start w:val="single" w:sz="4" w:space="0" w:color="9DB8D9"/>
              <w:bottom w:val="single" w:sz="4" w:space="0" w:color="9DB8D9"/>
              <w:end w:val="single" w:sz="4" w:space="0" w:color="9DB8D9"/>
            </w:tcBorders>
            <w:shd w:val="clear" w:color="auto" w:fill="D5E8F0"/>
          </w:tcPr>
          <w:p>
            <w:pPr>
              <w:spacing w:before="0" w:after="0"/>
              <w:jc w:val="left"/>
            </w:pPr>
            <w:r>
              <w:rPr>
                <w:b/>
                <w:i w:val="0"/>
                <w:color w:val="1F497D"/>
                <w:sz w:val="18"/>
              </w:rPr>
              <w:t>IKC-Primary (Alternative)</w:t>
            </w:r>
          </w:p>
        </w:tc>
      </w:tr>
      <w:tr>
        <w:tc>
          <w:tcPr>
            <w:tcW w:w="24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Enterprise catalog authority</w:t>
            </w:r>
          </w:p>
        </w:tc>
        <w:tc>
          <w:tcPr>
            <w:tcW w:w="288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Purview</w:t>
            </w:r>
          </w:p>
        </w:tc>
        <w:tc>
          <w:tcPr>
            <w:tcW w:w="288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IKC</w:t>
            </w:r>
          </w:p>
        </w:tc>
      </w:tr>
      <w:tr>
        <w:tc>
          <w:tcPr>
            <w:tcW w:w="240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Glossary / classification SOR</w:t>
            </w:r>
          </w:p>
        </w:tc>
        <w:tc>
          <w:tcPr>
            <w:tcW w:w="288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Purview</w:t>
            </w:r>
          </w:p>
        </w:tc>
        <w:tc>
          <w:tcPr>
            <w:tcW w:w="288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IKC</w:t>
            </w:r>
          </w:p>
        </w:tc>
      </w:tr>
      <w:tr>
        <w:tc>
          <w:tcPr>
            <w:tcW w:w="24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Stewardship operating environment</w:t>
            </w:r>
          </w:p>
        </w:tc>
        <w:tc>
          <w:tcPr>
            <w:tcW w:w="288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Purview portal</w:t>
            </w:r>
          </w:p>
        </w:tc>
        <w:tc>
          <w:tcPr>
            <w:tcW w:w="288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IKC portal</w:t>
            </w:r>
          </w:p>
        </w:tc>
      </w:tr>
      <w:tr>
        <w:tc>
          <w:tcPr>
            <w:tcW w:w="240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DQ Tier 1 (pre-Bronze)</w:t>
            </w:r>
          </w:p>
        </w:tc>
        <w:tc>
          <w:tcPr>
            <w:tcW w:w="288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Purview DQ sampling (structural/statistical)</w:t>
            </w:r>
          </w:p>
        </w:tc>
        <w:tc>
          <w:tcPr>
            <w:tcW w:w="288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IKC DQ profiling + complex business rules</w:t>
            </w:r>
          </w:p>
        </w:tc>
      </w:tr>
      <w:tr>
        <w:tc>
          <w:tcPr>
            <w:tcW w:w="24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DQ Tier 2 / Tier 3</w:t>
            </w:r>
          </w:p>
        </w:tc>
        <w:tc>
          <w:tcPr>
            <w:tcW w:w="288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DLT Expectations / Gold SLA checks (unchanged)</w:t>
            </w:r>
          </w:p>
        </w:tc>
        <w:tc>
          <w:tcPr>
            <w:tcW w:w="288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DLT Expectations / Gold SLA checks (unchanged)</w:t>
            </w:r>
          </w:p>
        </w:tc>
      </w:tr>
      <w:tr>
        <w:tc>
          <w:tcPr>
            <w:tcW w:w="240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DQ scorecards and certification</w:t>
            </w:r>
          </w:p>
        </w:tc>
        <w:tc>
          <w:tcPr>
            <w:tcW w:w="288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Purview</w:t>
            </w:r>
          </w:p>
        </w:tc>
        <w:tc>
          <w:tcPr>
            <w:tcW w:w="288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IKC (unified DQ authority)</w:t>
            </w:r>
          </w:p>
        </w:tc>
      </w:tr>
      <w:tr>
        <w:tc>
          <w:tcPr>
            <w:tcW w:w="24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Runtime enforcement</w:t>
            </w:r>
          </w:p>
        </w:tc>
        <w:tc>
          <w:tcPr>
            <w:tcW w:w="288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Unity Catalog — RLS/CLS/DDM/grants</w:t>
            </w:r>
          </w:p>
        </w:tc>
        <w:tc>
          <w:tcPr>
            <w:tcW w:w="288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Unity Catalog — RLS/CLS/DDM/grants (unchanged)</w:t>
            </w:r>
          </w:p>
        </w:tc>
      </w:tr>
      <w:tr>
        <w:tc>
          <w:tcPr>
            <w:tcW w:w="240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Classification propagation path</w:t>
            </w:r>
          </w:p>
        </w:tc>
        <w:tc>
          <w:tcPr>
            <w:tcW w:w="288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Purview → Unity Catalog policy tags (native)</w:t>
            </w:r>
          </w:p>
        </w:tc>
        <w:tc>
          <w:tcPr>
            <w:tcW w:w="288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IKC → Unity Catalog policy tags (via sync pipeline)</w:t>
            </w:r>
          </w:p>
        </w:tc>
      </w:tr>
      <w:tr>
        <w:tc>
          <w:tcPr>
            <w:tcW w:w="24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Cross-platform lineage</w:t>
            </w:r>
          </w:p>
        </w:tc>
        <w:tc>
          <w:tcPr>
            <w:tcW w:w="288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Manta → Purview (primary)</w:t>
            </w:r>
          </w:p>
        </w:tc>
        <w:tc>
          <w:tcPr>
            <w:tcW w:w="288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Manta → IKC (primary); optional Purview mirror</w:t>
            </w:r>
          </w:p>
        </w:tc>
      </w:tr>
      <w:tr>
        <w:tc>
          <w:tcPr>
            <w:tcW w:w="240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Regulatory evidence packs</w:t>
            </w:r>
          </w:p>
        </w:tc>
        <w:tc>
          <w:tcPr>
            <w:tcW w:w="288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Purview + Unity Catalog + Manta</w:t>
            </w:r>
          </w:p>
        </w:tc>
        <w:tc>
          <w:tcPr>
            <w:tcW w:w="288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IKC + Unity Catalog + Manta</w:t>
            </w:r>
          </w:p>
        </w:tc>
      </w:tr>
      <w:tr>
        <w:tc>
          <w:tcPr>
            <w:tcW w:w="24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M365 DLP integration</w:t>
            </w:r>
          </w:p>
        </w:tc>
        <w:tc>
          <w:tcPr>
            <w:tcW w:w="288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Purview (native)</w:t>
            </w:r>
          </w:p>
        </w:tc>
        <w:tc>
          <w:tcPr>
            <w:tcW w:w="288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Purview (residual) + IKC classification mirror</w:t>
            </w:r>
          </w:p>
        </w:tc>
      </w:tr>
      <w:tr>
        <w:tc>
          <w:tcPr>
            <w:tcW w:w="240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Fabric semantic alignment</w:t>
            </w:r>
          </w:p>
        </w:tc>
        <w:tc>
          <w:tcPr>
            <w:tcW w:w="288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Purview glossary → Fabric (native)</w:t>
            </w:r>
          </w:p>
        </w:tc>
        <w:tc>
          <w:tcPr>
            <w:tcW w:w="288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IKC glossary → Fabric (custom integration required)</w:t>
            </w:r>
          </w:p>
        </w:tc>
      </w:tr>
      <w:tr>
        <w:tc>
          <w:tcPr>
            <w:tcW w:w="24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IBM licensing footprint</w:t>
            </w:r>
          </w:p>
        </w:tc>
        <w:tc>
          <w:tcPr>
            <w:tcW w:w="288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Manta only</w:t>
            </w:r>
          </w:p>
        </w:tc>
        <w:tc>
          <w:tcPr>
            <w:tcW w:w="288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IKC + Manta</w:t>
            </w:r>
          </w:p>
        </w:tc>
      </w:tr>
      <w:tr>
        <w:tc>
          <w:tcPr>
            <w:tcW w:w="240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Azure-native integration depth</w:t>
            </w:r>
          </w:p>
        </w:tc>
        <w:tc>
          <w:tcPr>
            <w:tcW w:w="288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High (native stack)</w:t>
            </w:r>
          </w:p>
        </w:tc>
        <w:tc>
          <w:tcPr>
            <w:tcW w:w="288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Medium (IKC not Azure-native)</w:t>
            </w:r>
          </w:p>
        </w:tc>
      </w:tr>
      <w:tr>
        <w:tc>
          <w:tcPr>
            <w:tcW w:w="24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IKC migration effort (Horizon 1)</w:t>
            </w:r>
          </w:p>
        </w:tc>
        <w:tc>
          <w:tcPr>
            <w:tcW w:w="288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Required (IKC → Purview migration)</w:t>
            </w:r>
          </w:p>
        </w:tc>
        <w:tc>
          <w:tcPr>
            <w:tcW w:w="288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Not required (IKC retained)</w:t>
            </w:r>
          </w:p>
        </w:tc>
      </w:tr>
      <w:tr>
        <w:tc>
          <w:tcPr>
            <w:tcW w:w="240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Governance stack complexity</w:t>
            </w:r>
          </w:p>
        </w:tc>
        <w:tc>
          <w:tcPr>
            <w:tcW w:w="288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Lower (single authority)</w:t>
            </w:r>
          </w:p>
        </w:tc>
        <w:tc>
          <w:tcPr>
            <w:tcW w:w="288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Higher (IKC + Purview residual + UC + Manta)</w:t>
            </w:r>
          </w:p>
        </w:tc>
      </w:tr>
    </w:tbl>
    <w:p>
      <w:pPr>
        <w:spacing w:before="0" w:after="200"/>
      </w:pPr>
    </w:p>
    <w:p>
      <w:pPr>
        <w:pStyle w:val="Heading1"/>
        <w:pageBreakBefore w:val="true"/>
      </w:pPr>
      <w:r>
        <w:rPr>
          <w:b/>
          <w:color w:val="1F497D"/>
          <w:sz w:val="28"/>
        </w:rPr>
        <w:t>5. Decision Gates for the Architecture Board</w:t>
      </w:r>
    </w:p>
    <w:p>
      <w:pPr>
        <w:spacing w:before="0" w:after="160"/>
        <w:jc w:val="left"/>
      </w:pPr>
      <w:r>
        <w:rPr>
          <w:b w:val="0"/>
          <w:i w:val="0"/>
        </w:rPr>
        <w:t>The Architecture Board must not approve enterprise-wide IKC-primary adoption without formal evidence on each of the following gates. Gates are sequential: failure at any gate suspends progression until remediation is complete.</w:t>
      </w:r>
    </w:p>
    <w:tbl>
      <w:tblPr>
        <w:tblStyle w:val="TableGrid"/>
        <w:tblW w:w="7160" w:type="dxa"/>
        <w:jc w:val="left"/>
        <w:tblLook w:firstColumn="1" w:firstRow="1" w:lastColumn="0" w:lastRow="0" w:noHBand="0" w:noVBand="1" w:val="04A0"/>
      </w:tblPr>
      <w:tblGrid>
        <w:gridCol w:w="400"/>
        <w:gridCol w:w="1400"/>
        <w:gridCol w:w="1800"/>
        <w:gridCol w:w="1300"/>
        <w:gridCol w:w="2260"/>
      </w:tblGrid>
      <w:tr>
        <w:tc>
          <w:tcPr>
            <w:tcW w:w="400" w:type="dxa"/>
            <w:tcBorders>
              <w:top w:val="single" w:sz="4" w:space="0" w:color="9DB8D9"/>
              <w:start w:val="single" w:sz="4" w:space="0" w:color="9DB8D9"/>
              <w:bottom w:val="single" w:sz="4" w:space="0" w:color="9DB8D9"/>
              <w:end w:val="single" w:sz="4" w:space="0" w:color="9DB8D9"/>
            </w:tcBorders>
            <w:shd w:val="clear" w:color="auto" w:fill="D5E8F0"/>
          </w:tcPr>
          <w:p>
            <w:pPr>
              <w:spacing w:before="0" w:after="0"/>
              <w:jc w:val="left"/>
            </w:pPr>
            <w:r>
              <w:rPr>
                <w:b/>
                <w:i w:val="0"/>
                <w:color w:val="1F497D"/>
                <w:sz w:val="18"/>
              </w:rPr>
              <w:t>Gate</w:t>
            </w:r>
          </w:p>
        </w:tc>
        <w:tc>
          <w:tcPr>
            <w:tcW w:w="1400" w:type="dxa"/>
            <w:tcBorders>
              <w:top w:val="single" w:sz="4" w:space="0" w:color="9DB8D9"/>
              <w:start w:val="single" w:sz="4" w:space="0" w:color="9DB8D9"/>
              <w:bottom w:val="single" w:sz="4" w:space="0" w:color="9DB8D9"/>
              <w:end w:val="single" w:sz="4" w:space="0" w:color="9DB8D9"/>
            </w:tcBorders>
            <w:shd w:val="clear" w:color="auto" w:fill="D5E8F0"/>
          </w:tcPr>
          <w:p>
            <w:pPr>
              <w:spacing w:before="0" w:after="0"/>
              <w:jc w:val="left"/>
            </w:pPr>
            <w:r>
              <w:rPr>
                <w:b/>
                <w:i w:val="0"/>
                <w:color w:val="1F497D"/>
                <w:sz w:val="18"/>
              </w:rPr>
              <w:t>Decision Topic</w:t>
            </w:r>
          </w:p>
        </w:tc>
        <w:tc>
          <w:tcPr>
            <w:tcW w:w="1800" w:type="dxa"/>
            <w:tcBorders>
              <w:top w:val="single" w:sz="4" w:space="0" w:color="9DB8D9"/>
              <w:start w:val="single" w:sz="4" w:space="0" w:color="9DB8D9"/>
              <w:bottom w:val="single" w:sz="4" w:space="0" w:color="9DB8D9"/>
              <w:end w:val="single" w:sz="4" w:space="0" w:color="9DB8D9"/>
            </w:tcBorders>
            <w:shd w:val="clear" w:color="auto" w:fill="D5E8F0"/>
          </w:tcPr>
          <w:p>
            <w:pPr>
              <w:spacing w:before="0" w:after="0"/>
              <w:jc w:val="left"/>
            </w:pPr>
            <w:r>
              <w:rPr>
                <w:b/>
                <w:i w:val="0"/>
                <w:color w:val="1F497D"/>
                <w:sz w:val="18"/>
              </w:rPr>
              <w:t>Entry Criteria</w:t>
            </w:r>
          </w:p>
        </w:tc>
        <w:tc>
          <w:tcPr>
            <w:tcW w:w="1300" w:type="dxa"/>
            <w:tcBorders>
              <w:top w:val="single" w:sz="4" w:space="0" w:color="9DB8D9"/>
              <w:start w:val="single" w:sz="4" w:space="0" w:color="9DB8D9"/>
              <w:bottom w:val="single" w:sz="4" w:space="0" w:color="9DB8D9"/>
              <w:end w:val="single" w:sz="4" w:space="0" w:color="9DB8D9"/>
            </w:tcBorders>
            <w:shd w:val="clear" w:color="auto" w:fill="D5E8F0"/>
          </w:tcPr>
          <w:p>
            <w:pPr>
              <w:spacing w:before="0" w:after="0"/>
              <w:jc w:val="left"/>
            </w:pPr>
            <w:r>
              <w:rPr>
                <w:b/>
                <w:i w:val="0"/>
                <w:color w:val="1F497D"/>
                <w:sz w:val="18"/>
              </w:rPr>
              <w:t>Options</w:t>
            </w:r>
          </w:p>
        </w:tc>
        <w:tc>
          <w:tcPr>
            <w:tcW w:w="2260" w:type="dxa"/>
            <w:tcBorders>
              <w:top w:val="single" w:sz="4" w:space="0" w:color="9DB8D9"/>
              <w:start w:val="single" w:sz="4" w:space="0" w:color="9DB8D9"/>
              <w:bottom w:val="single" w:sz="4" w:space="0" w:color="9DB8D9"/>
              <w:end w:val="single" w:sz="4" w:space="0" w:color="9DB8D9"/>
            </w:tcBorders>
            <w:shd w:val="clear" w:color="auto" w:fill="D5E8F0"/>
          </w:tcPr>
          <w:p>
            <w:pPr>
              <w:spacing w:before="0" w:after="0"/>
              <w:jc w:val="left"/>
            </w:pPr>
            <w:r>
              <w:rPr>
                <w:b/>
                <w:i w:val="0"/>
                <w:color w:val="1F497D"/>
                <w:sz w:val="18"/>
              </w:rPr>
              <w:t>Mandatory Evidence</w:t>
            </w:r>
          </w:p>
        </w:tc>
      </w:tr>
      <w:tr>
        <w:tc>
          <w:tcPr>
            <w:tcW w:w="4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G1</w:t>
            </w:r>
          </w:p>
        </w:tc>
        <w:tc>
          <w:tcPr>
            <w:tcW w:w="14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Catalog authority model</w:t>
            </w:r>
          </w:p>
        </w:tc>
        <w:tc>
          <w:tcPr>
            <w:tcW w:w="18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IKC-primary operating model, governance RACI, and 3-year TCO model documented.</w:t>
            </w:r>
          </w:p>
        </w:tc>
        <w:tc>
          <w:tcPr>
            <w:tcW w:w="13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Approve IKC-primary / Retain Purview-primary / Hybrid transitional</w:t>
            </w:r>
          </w:p>
        </w:tc>
        <w:tc>
          <w:tcPr>
            <w:tcW w:w="226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RACI, support model, TCO comparison vs. Purview-primary baseline, IBM enterprise agreement scope confirmation.</w:t>
            </w:r>
          </w:p>
        </w:tc>
      </w:tr>
      <w:tr>
        <w:tc>
          <w:tcPr>
            <w:tcW w:w="40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G2</w:t>
            </w:r>
          </w:p>
        </w:tc>
        <w:tc>
          <w:tcPr>
            <w:tcW w:w="140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Security enforcement integrity</w:t>
            </w:r>
          </w:p>
        </w:tc>
        <w:tc>
          <w:tcPr>
            <w:tcW w:w="180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Proof that IKC-primary does not create temporal windows where Unity Catalog enforcement lags IKC classification changes for Restricted-classified data.</w:t>
            </w:r>
          </w:p>
        </w:tc>
        <w:tc>
          <w:tcPr>
            <w:tcW w:w="130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Approve / Conditional approval with remediation SLA / Reject</w:t>
            </w:r>
          </w:p>
        </w:tc>
        <w:tc>
          <w:tcPr>
            <w:tcW w:w="226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Control test results for RLS, CLS, DDM enforcement paths (Databricks, SAS JDBC, Fabric BI); sync latency SLA measurement; drift detection alert configuration.</w:t>
            </w:r>
          </w:p>
        </w:tc>
      </w:tr>
      <w:tr>
        <w:tc>
          <w:tcPr>
            <w:tcW w:w="4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G3</w:t>
            </w:r>
          </w:p>
        </w:tc>
        <w:tc>
          <w:tcPr>
            <w:tcW w:w="14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Lineage and audit evidence</w:t>
            </w:r>
          </w:p>
        </w:tc>
        <w:tc>
          <w:tcPr>
            <w:tcW w:w="18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Manta-to-IKC lineage publication validated for at least one regulated domain end-to-end.</w:t>
            </w:r>
          </w:p>
        </w:tc>
        <w:tc>
          <w:tcPr>
            <w:tcW w:w="13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Approve / Defer until coverage threshold met</w:t>
            </w:r>
          </w:p>
        </w:tc>
        <w:tc>
          <w:tcPr>
            <w:tcW w:w="226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End-to-end lineage test packs for priority domain (recommended: Customer 360 or Financial Aggregates); AMF/OSFI audit evidence pack review.</w:t>
            </w:r>
          </w:p>
        </w:tc>
      </w:tr>
      <w:tr>
        <w:tc>
          <w:tcPr>
            <w:tcW w:w="40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G4</w:t>
            </w:r>
          </w:p>
        </w:tc>
        <w:tc>
          <w:tcPr>
            <w:tcW w:w="140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Data quality operating model</w:t>
            </w:r>
          </w:p>
        </w:tc>
        <w:tc>
          <w:tcPr>
            <w:tcW w:w="180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IKC DQ Tier 1 pipeline design complete; quarantine handling validated at representative ingestion volumes; Tier 2/3 handoffs verified.</w:t>
            </w:r>
          </w:p>
        </w:tc>
        <w:tc>
          <w:tcPr>
            <w:tcW w:w="130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Approve / Run dual operation / Reject</w:t>
            </w:r>
          </w:p>
        </w:tc>
        <w:tc>
          <w:tcPr>
            <w:tcW w:w="226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Threshold mapping, quarantine tests, DQ scorecard outputs from IKC for pilot domain; comparison with Purview DQ baseline.</w:t>
            </w:r>
          </w:p>
        </w:tc>
      </w:tr>
      <w:tr>
        <w:tc>
          <w:tcPr>
            <w:tcW w:w="4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G5</w:t>
            </w:r>
          </w:p>
        </w:tc>
        <w:tc>
          <w:tcPr>
            <w:tcW w:w="14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Integration and delivery feasibility</w:t>
            </w:r>
          </w:p>
        </w:tc>
        <w:tc>
          <w:tcPr>
            <w:tcW w:w="18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IKC-Unity Catalog-Manta integration backlog, delivery plan, and staffing confirmed.</w:t>
            </w:r>
          </w:p>
        </w:tc>
        <w:tc>
          <w:tcPr>
            <w:tcW w:w="13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Approve phased rollout / Request scope reduction</w:t>
            </w:r>
          </w:p>
        </w:tc>
        <w:tc>
          <w:tcPr>
            <w:tcW w:w="226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Delivery plan, dependency map, integration architecture blueprint, risk register, resourcing model.</w:t>
            </w:r>
          </w:p>
        </w:tc>
      </w:tr>
      <w:tr>
        <w:tc>
          <w:tcPr>
            <w:tcW w:w="40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G6</w:t>
            </w:r>
          </w:p>
        </w:tc>
        <w:tc>
          <w:tcPr>
            <w:tcW w:w="140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Economics and sustainability</w:t>
            </w:r>
          </w:p>
        </w:tc>
        <w:tc>
          <w:tcPr>
            <w:tcW w:w="180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3-year cost model and run-cost profile approved by CDO and Finance.</w:t>
            </w:r>
          </w:p>
        </w:tc>
        <w:tc>
          <w:tcPr>
            <w:tcW w:w="130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Proceed / Optimize and resubmit / Hold</w:t>
            </w:r>
          </w:p>
        </w:tc>
        <w:tc>
          <w:tcPr>
            <w:tcW w:w="226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IBM licensing forecast (IKC + Manta), Cloud Pak infrastructure run cost, integration operations FTE model, sensitivity analysis vs. Purview-primary.</w:t>
            </w:r>
          </w:p>
        </w:tc>
      </w:tr>
    </w:tbl>
    <w:p>
      <w:pPr>
        <w:spacing w:before="0" w:after="200"/>
      </w:pPr>
    </w:p>
    <w:p>
      <w:pPr>
        <w:pStyle w:val="Heading1"/>
      </w:pPr>
      <w:r>
        <w:rPr>
          <w:b/>
          <w:color w:val="1F497D"/>
          <w:sz w:val="28"/>
        </w:rPr>
        <w:t>6. Target-State Governance RACI (IKC-Primary)</w:t>
      </w:r>
    </w:p>
    <w:tbl>
      <w:tblPr>
        <w:tblStyle w:val="TableGrid"/>
        <w:tblW w:w="8160" w:type="dxa"/>
        <w:jc w:val="left"/>
        <w:tblLook w:firstColumn="1" w:firstRow="1" w:lastColumn="0" w:lastRow="0" w:noHBand="0" w:noVBand="1" w:val="04A0"/>
      </w:tblPr>
      <w:tblGrid>
        <w:gridCol w:w="1900"/>
        <w:gridCol w:w="1400"/>
        <w:gridCol w:w="1400"/>
        <w:gridCol w:w="1700"/>
        <w:gridCol w:w="1760"/>
      </w:tblGrid>
      <w:tr>
        <w:tc>
          <w:tcPr>
            <w:tcW w:w="1900" w:type="dxa"/>
            <w:tcBorders>
              <w:top w:val="single" w:sz="4" w:space="0" w:color="9DB8D9"/>
              <w:start w:val="single" w:sz="4" w:space="0" w:color="9DB8D9"/>
              <w:bottom w:val="single" w:sz="4" w:space="0" w:color="9DB8D9"/>
              <w:end w:val="single" w:sz="4" w:space="0" w:color="9DB8D9"/>
            </w:tcBorders>
            <w:shd w:val="clear" w:color="auto" w:fill="D5E8F0"/>
          </w:tcPr>
          <w:p>
            <w:pPr>
              <w:spacing w:before="0" w:after="0"/>
              <w:jc w:val="left"/>
            </w:pPr>
            <w:r>
              <w:rPr>
                <w:b/>
                <w:i w:val="0"/>
                <w:color w:val="1F497D"/>
                <w:sz w:val="18"/>
              </w:rPr>
              <w:t>Capability</w:t>
            </w:r>
          </w:p>
        </w:tc>
        <w:tc>
          <w:tcPr>
            <w:tcW w:w="1400" w:type="dxa"/>
            <w:tcBorders>
              <w:top w:val="single" w:sz="4" w:space="0" w:color="9DB8D9"/>
              <w:start w:val="single" w:sz="4" w:space="0" w:color="9DB8D9"/>
              <w:bottom w:val="single" w:sz="4" w:space="0" w:color="9DB8D9"/>
              <w:end w:val="single" w:sz="4" w:space="0" w:color="9DB8D9"/>
            </w:tcBorders>
            <w:shd w:val="clear" w:color="auto" w:fill="D5E8F0"/>
          </w:tcPr>
          <w:p>
            <w:pPr>
              <w:spacing w:before="0" w:after="0"/>
              <w:jc w:val="left"/>
            </w:pPr>
            <w:r>
              <w:rPr>
                <w:b/>
                <w:i w:val="0"/>
                <w:color w:val="1F497D"/>
                <w:sz w:val="18"/>
              </w:rPr>
              <w:t>Accountable</w:t>
            </w:r>
          </w:p>
        </w:tc>
        <w:tc>
          <w:tcPr>
            <w:tcW w:w="1400" w:type="dxa"/>
            <w:tcBorders>
              <w:top w:val="single" w:sz="4" w:space="0" w:color="9DB8D9"/>
              <w:start w:val="single" w:sz="4" w:space="0" w:color="9DB8D9"/>
              <w:bottom w:val="single" w:sz="4" w:space="0" w:color="9DB8D9"/>
              <w:end w:val="single" w:sz="4" w:space="0" w:color="9DB8D9"/>
            </w:tcBorders>
            <w:shd w:val="clear" w:color="auto" w:fill="D5E8F0"/>
          </w:tcPr>
          <w:p>
            <w:pPr>
              <w:spacing w:before="0" w:after="0"/>
              <w:jc w:val="left"/>
            </w:pPr>
            <w:r>
              <w:rPr>
                <w:b/>
                <w:i w:val="0"/>
                <w:color w:val="1F497D"/>
                <w:sz w:val="18"/>
              </w:rPr>
              <w:t>Responsible</w:t>
            </w:r>
          </w:p>
        </w:tc>
        <w:tc>
          <w:tcPr>
            <w:tcW w:w="1700" w:type="dxa"/>
            <w:tcBorders>
              <w:top w:val="single" w:sz="4" w:space="0" w:color="9DB8D9"/>
              <w:start w:val="single" w:sz="4" w:space="0" w:color="9DB8D9"/>
              <w:bottom w:val="single" w:sz="4" w:space="0" w:color="9DB8D9"/>
              <w:end w:val="single" w:sz="4" w:space="0" w:color="9DB8D9"/>
            </w:tcBorders>
            <w:shd w:val="clear" w:color="auto" w:fill="D5E8F0"/>
          </w:tcPr>
          <w:p>
            <w:pPr>
              <w:spacing w:before="0" w:after="0"/>
              <w:jc w:val="left"/>
            </w:pPr>
            <w:r>
              <w:rPr>
                <w:b/>
                <w:i w:val="0"/>
                <w:color w:val="1F497D"/>
                <w:sz w:val="18"/>
              </w:rPr>
              <w:t>Consulted</w:t>
            </w:r>
          </w:p>
        </w:tc>
        <w:tc>
          <w:tcPr>
            <w:tcW w:w="1760" w:type="dxa"/>
            <w:tcBorders>
              <w:top w:val="single" w:sz="4" w:space="0" w:color="9DB8D9"/>
              <w:start w:val="single" w:sz="4" w:space="0" w:color="9DB8D9"/>
              <w:bottom w:val="single" w:sz="4" w:space="0" w:color="9DB8D9"/>
              <w:end w:val="single" w:sz="4" w:space="0" w:color="9DB8D9"/>
            </w:tcBorders>
            <w:shd w:val="clear" w:color="auto" w:fill="D5E8F0"/>
          </w:tcPr>
          <w:p>
            <w:pPr>
              <w:spacing w:before="0" w:after="0"/>
              <w:jc w:val="left"/>
            </w:pPr>
            <w:r>
              <w:rPr>
                <w:b/>
                <w:i w:val="0"/>
                <w:color w:val="1F497D"/>
                <w:sz w:val="18"/>
              </w:rPr>
              <w:t>Informed</w:t>
            </w:r>
          </w:p>
        </w:tc>
      </w:tr>
      <w:tr>
        <w:tc>
          <w:tcPr>
            <w:tcW w:w="19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Business glossary and taxonomy</w:t>
            </w:r>
          </w:p>
        </w:tc>
        <w:tc>
          <w:tcPr>
            <w:tcW w:w="14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CDO Governance Office</w:t>
            </w:r>
          </w:p>
        </w:tc>
        <w:tc>
          <w:tcPr>
            <w:tcW w:w="14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Data Governance Team (IKC)</w:t>
            </w:r>
          </w:p>
        </w:tc>
        <w:tc>
          <w:tcPr>
            <w:tcW w:w="17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Domain Data Owners, Security &amp; Privacy</w:t>
            </w:r>
          </w:p>
        </w:tc>
        <w:tc>
          <w:tcPr>
            <w:tcW w:w="176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Domain analytics leads, Data Stewards</w:t>
            </w:r>
          </w:p>
        </w:tc>
      </w:tr>
      <w:tr>
        <w:tc>
          <w:tcPr>
            <w:tcW w:w="190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Data classification and labelling</w:t>
            </w:r>
          </w:p>
        </w:tc>
        <w:tc>
          <w:tcPr>
            <w:tcW w:w="140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Chief Data Officer</w:t>
            </w:r>
          </w:p>
        </w:tc>
        <w:tc>
          <w:tcPr>
            <w:tcW w:w="140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Data Governance Team (IKC)</w:t>
            </w:r>
          </w:p>
        </w:tc>
        <w:tc>
          <w:tcPr>
            <w:tcW w:w="170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Security &amp; Privacy, Compliance</w:t>
            </w:r>
          </w:p>
        </w:tc>
        <w:tc>
          <w:tcPr>
            <w:tcW w:w="176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Domain stewards, Analytics leads</w:t>
            </w:r>
          </w:p>
        </w:tc>
      </w:tr>
      <w:tr>
        <w:tc>
          <w:tcPr>
            <w:tcW w:w="19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Stewardship workflows</w:t>
            </w:r>
          </w:p>
        </w:tc>
        <w:tc>
          <w:tcPr>
            <w:tcW w:w="14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CDO Governance Office</w:t>
            </w:r>
          </w:p>
        </w:tc>
        <w:tc>
          <w:tcPr>
            <w:tcW w:w="14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Data Stewards (IKC portal)</w:t>
            </w:r>
          </w:p>
        </w:tc>
        <w:tc>
          <w:tcPr>
            <w:tcW w:w="17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Domain Data Owners</w:t>
            </w:r>
          </w:p>
        </w:tc>
        <w:tc>
          <w:tcPr>
            <w:tcW w:w="176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CDO leadership</w:t>
            </w:r>
          </w:p>
        </w:tc>
      </w:tr>
      <w:tr>
        <w:tc>
          <w:tcPr>
            <w:tcW w:w="190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Runtime access enforcement (Unity Catalog)</w:t>
            </w:r>
          </w:p>
        </w:tc>
        <w:tc>
          <w:tcPr>
            <w:tcW w:w="140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Data Platform Security Architect</w:t>
            </w:r>
          </w:p>
        </w:tc>
        <w:tc>
          <w:tcPr>
            <w:tcW w:w="140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Databricks Platform Team</w:t>
            </w:r>
          </w:p>
        </w:tc>
        <w:tc>
          <w:tcPr>
            <w:tcW w:w="170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Governance Office, SAS Platform Team</w:t>
            </w:r>
          </w:p>
        </w:tc>
        <w:tc>
          <w:tcPr>
            <w:tcW w:w="176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Audit and Risk teams</w:t>
            </w:r>
          </w:p>
        </w:tc>
      </w:tr>
      <w:tr>
        <w:tc>
          <w:tcPr>
            <w:tcW w:w="19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IKC → Unity Catalog sync pipeline</w:t>
            </w:r>
          </w:p>
        </w:tc>
        <w:tc>
          <w:tcPr>
            <w:tcW w:w="14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Data Platform Architect</w:t>
            </w:r>
          </w:p>
        </w:tc>
        <w:tc>
          <w:tcPr>
            <w:tcW w:w="14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Data Platform Engineering</w:t>
            </w:r>
          </w:p>
        </w:tc>
        <w:tc>
          <w:tcPr>
            <w:tcW w:w="17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Governance Office, Security Architect</w:t>
            </w:r>
          </w:p>
        </w:tc>
        <w:tc>
          <w:tcPr>
            <w:tcW w:w="176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CDO leadership</w:t>
            </w:r>
          </w:p>
        </w:tc>
      </w:tr>
      <w:tr>
        <w:tc>
          <w:tcPr>
            <w:tcW w:w="190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Cross-platform lineage (Manta)</w:t>
            </w:r>
          </w:p>
        </w:tc>
        <w:tc>
          <w:tcPr>
            <w:tcW w:w="140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Enterprise Data Architecture</w:t>
            </w:r>
          </w:p>
        </w:tc>
        <w:tc>
          <w:tcPr>
            <w:tcW w:w="140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Manta Lineage Operations</w:t>
            </w:r>
          </w:p>
        </w:tc>
        <w:tc>
          <w:tcPr>
            <w:tcW w:w="170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Databricks / ADF / SAS engineering teams</w:t>
            </w:r>
          </w:p>
        </w:tc>
        <w:tc>
          <w:tcPr>
            <w:tcW w:w="176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Stewards, Compliance</w:t>
            </w:r>
          </w:p>
        </w:tc>
      </w:tr>
      <w:tr>
        <w:tc>
          <w:tcPr>
            <w:tcW w:w="19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DQ Tier 1 (IKC profiling)</w:t>
            </w:r>
          </w:p>
        </w:tc>
        <w:tc>
          <w:tcPr>
            <w:tcW w:w="14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Chief Data Quality Lead</w:t>
            </w:r>
          </w:p>
        </w:tc>
        <w:tc>
          <w:tcPr>
            <w:tcW w:w="14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Data Engineering + Governance DQ team</w:t>
            </w:r>
          </w:p>
        </w:tc>
        <w:tc>
          <w:tcPr>
            <w:tcW w:w="17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Domain stewards, Source system owners</w:t>
            </w:r>
          </w:p>
        </w:tc>
        <w:tc>
          <w:tcPr>
            <w:tcW w:w="176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CDO leadership</w:t>
            </w:r>
          </w:p>
        </w:tc>
      </w:tr>
      <w:tr>
        <w:tc>
          <w:tcPr>
            <w:tcW w:w="190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DQ Tier 2/3 (DLT / SLA)</w:t>
            </w:r>
          </w:p>
        </w:tc>
        <w:tc>
          <w:tcPr>
            <w:tcW w:w="140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Data Product Owner</w:t>
            </w:r>
          </w:p>
        </w:tc>
        <w:tc>
          <w:tcPr>
            <w:tcW w:w="140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Data Engineering</w:t>
            </w:r>
          </w:p>
        </w:tc>
        <w:tc>
          <w:tcPr>
            <w:tcW w:w="170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Data Quality Lead</w:t>
            </w:r>
          </w:p>
        </w:tc>
        <w:tc>
          <w:tcPr>
            <w:tcW w:w="176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Domain analytics leads</w:t>
            </w:r>
          </w:p>
        </w:tc>
      </w:tr>
      <w:tr>
        <w:tc>
          <w:tcPr>
            <w:tcW w:w="19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Data product certification</w:t>
            </w:r>
          </w:p>
        </w:tc>
        <w:tc>
          <w:tcPr>
            <w:tcW w:w="14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Data Product Owner</w:t>
            </w:r>
          </w:p>
        </w:tc>
        <w:tc>
          <w:tcPr>
            <w:tcW w:w="14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Data Governance Team (IKC)</w:t>
            </w:r>
          </w:p>
        </w:tc>
        <w:tc>
          <w:tcPr>
            <w:tcW w:w="17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Domain engineers, QA</w:t>
            </w:r>
          </w:p>
        </w:tc>
        <w:tc>
          <w:tcPr>
            <w:tcW w:w="176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CDO leadership, Business units</w:t>
            </w:r>
          </w:p>
        </w:tc>
      </w:tr>
      <w:tr>
        <w:tc>
          <w:tcPr>
            <w:tcW w:w="190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M365 DLP (Purview residual)</w:t>
            </w:r>
          </w:p>
        </w:tc>
        <w:tc>
          <w:tcPr>
            <w:tcW w:w="140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Chief Security &amp; Privacy Officer</w:t>
            </w:r>
          </w:p>
        </w:tc>
        <w:tc>
          <w:tcPr>
            <w:tcW w:w="140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Cloud Security Team (Purview)</w:t>
            </w:r>
          </w:p>
        </w:tc>
        <w:tc>
          <w:tcPr>
            <w:tcW w:w="170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Governance Office</w:t>
            </w:r>
          </w:p>
        </w:tc>
        <w:tc>
          <w:tcPr>
            <w:tcW w:w="1760" w:type="dxa"/>
            <w:tcBorders>
              <w:top w:val="single" w:sz="4" w:space="0" w:color="C8D8E8"/>
              <w:start w:val="single" w:sz="4" w:space="0" w:color="C8D8E8"/>
              <w:bottom w:val="single" w:sz="4" w:space="0" w:color="C8D8E8"/>
              <w:end w:val="single" w:sz="4" w:space="0" w:color="C8D8E8"/>
            </w:tcBorders>
            <w:shd w:val="clear" w:color="auto" w:fill="EEF4FA"/>
          </w:tcPr>
          <w:p>
            <w:pPr>
              <w:spacing w:before="0" w:after="0"/>
              <w:jc w:val="left"/>
            </w:pPr>
            <w:r>
              <w:rPr>
                <w:b w:val="0"/>
                <w:i w:val="0"/>
                <w:color w:val="1A1A1A"/>
                <w:sz w:val="18"/>
              </w:rPr>
              <w:t>CDO, Compliance</w:t>
            </w:r>
          </w:p>
        </w:tc>
      </w:tr>
      <w:tr>
        <w:tc>
          <w:tcPr>
            <w:tcW w:w="19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Regulatory evidence packs</w:t>
            </w:r>
          </w:p>
        </w:tc>
        <w:tc>
          <w:tcPr>
            <w:tcW w:w="14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CDO Governance Office</w:t>
            </w:r>
          </w:p>
        </w:tc>
        <w:tc>
          <w:tcPr>
            <w:tcW w:w="14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Data Governance + Manta Ops + Platform Sec</w:t>
            </w:r>
          </w:p>
        </w:tc>
        <w:tc>
          <w:tcPr>
            <w:tcW w:w="170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Audit and Risk, Legal</w:t>
            </w:r>
          </w:p>
        </w:tc>
        <w:tc>
          <w:tcPr>
            <w:tcW w:w="1760" w:type="dxa"/>
            <w:tcBorders>
              <w:top w:val="single" w:sz="4" w:space="0" w:color="C8D8E8"/>
              <w:start w:val="single" w:sz="4" w:space="0" w:color="C8D8E8"/>
              <w:bottom w:val="single" w:sz="4" w:space="0" w:color="C8D8E8"/>
              <w:end w:val="single" w:sz="4" w:space="0" w:color="C8D8E8"/>
            </w:tcBorders>
            <w:shd w:val="clear" w:color="auto" w:fill="FFFFFF"/>
          </w:tcPr>
          <w:p>
            <w:pPr>
              <w:spacing w:before="0" w:after="0"/>
              <w:jc w:val="left"/>
            </w:pPr>
            <w:r>
              <w:rPr>
                <w:b w:val="0"/>
                <w:i w:val="0"/>
                <w:color w:val="1A1A1A"/>
                <w:sz w:val="18"/>
              </w:rPr>
              <w:t>VP CDO, OSFI/AMF reporting teams</w:t>
            </w:r>
          </w:p>
        </w:tc>
      </w:tr>
    </w:tbl>
    <w:p>
      <w:pPr>
        <w:spacing w:before="0" w:after="200"/>
      </w:pPr>
    </w:p>
    <w:p>
      <w:pPr>
        <w:pStyle w:val="Heading1"/>
        <w:pageBreakBefore w:val="true"/>
      </w:pPr>
      <w:r>
        <w:rPr>
          <w:b/>
          <w:color w:val="1F497D"/>
          <w:sz w:val="28"/>
        </w:rPr>
        <w:t>7. Migration Approach</w:t>
      </w:r>
    </w:p>
    <w:p>
      <w:pPr>
        <w:spacing w:before="0" w:after="160"/>
        <w:jc w:val="left"/>
      </w:pPr>
      <w:r>
        <w:rPr>
          <w:b w:val="0"/>
          <w:i w:val="0"/>
        </w:rPr>
        <w:t>Migration is gate-gated and domain-scoped. Enterprise-wide cutover does not occur until all Architecture Board gates (G1–G6) are passed for the pilot domain. Existing baseline documents are not modified until G1 is formally approved.</w:t>
      </w:r>
    </w:p>
    <w:p>
      <w:pPr>
        <w:pStyle w:val="Heading2"/>
      </w:pPr>
      <w:r>
        <w:rPr>
          <w:b/>
          <w:color w:val="2E75B6"/>
          <w:sz w:val="24"/>
        </w:rPr>
        <w:t>Phase 1 — Definition and Pilot (Horizon 1, Months 1–6)</w:t>
      </w:r>
    </w:p>
    <w:p>
      <w:pPr>
        <w:pStyle w:val="ListBullet"/>
        <w:spacing w:before="20" w:after="20"/>
      </w:pPr>
      <w:r>
        <w:rPr>
          <w:color w:val="1A1A1A"/>
          <w:sz w:val="20"/>
        </w:rPr>
        <w:t>Obtain Architecture Board approval for AD rewrite direction (AD-05, AD-06, AD-08) at gate G1.</w:t>
      </w:r>
    </w:p>
    <w:p>
      <w:pPr>
        <w:pStyle w:val="ListBullet"/>
        <w:spacing w:before="20" w:after="20"/>
      </w:pPr>
      <w:r>
        <w:rPr>
          <w:color w:val="1A1A1A"/>
          <w:sz w:val="20"/>
        </w:rPr>
        <w:t>Establish IKC as enterprise governance authority for one priority domain. Recommended: Customer 360, given its cross-domain authority and high visibility.</w:t>
      </w:r>
    </w:p>
    <w:p>
      <w:pPr>
        <w:pStyle w:val="ListBullet"/>
        <w:spacing w:before="20" w:after="20"/>
      </w:pPr>
      <w:r>
        <w:rPr>
          <w:color w:val="1A1A1A"/>
          <w:sz w:val="20"/>
        </w:rPr>
        <w:t>Implement IKC-to-Unity Catalog classification and policy mapping automation for pilot scope. Deliver drift detection and alerting before any sensitive data is governed exclusively by IKC.</w:t>
      </w:r>
    </w:p>
    <w:p>
      <w:pPr>
        <w:pStyle w:val="ListBullet"/>
        <w:spacing w:before="20" w:after="20"/>
      </w:pPr>
      <w:r>
        <w:rPr>
          <w:color w:val="1A1A1A"/>
          <w:sz w:val="20"/>
        </w:rPr>
        <w:t>Configure Manta to publish lineage to IKC as primary target for pilot domain scope.</w:t>
      </w:r>
    </w:p>
    <w:p>
      <w:pPr>
        <w:pStyle w:val="ListBullet"/>
        <w:spacing w:before="20" w:after="20"/>
      </w:pPr>
      <w:r>
        <w:rPr>
          <w:color w:val="1A1A1A"/>
          <w:sz w:val="20"/>
        </w:rPr>
        <w:t>Implement IKC DQ Tier 1 profiling pipeline for pilot domain ingestion paths.</w:t>
      </w:r>
    </w:p>
    <w:p>
      <w:pPr>
        <w:pStyle w:val="ListBullet"/>
        <w:spacing w:before="20" w:after="20"/>
      </w:pPr>
      <w:r>
        <w:rPr>
          <w:color w:val="1A1A1A"/>
          <w:sz w:val="20"/>
        </w:rPr>
        <w:t>Complete gates G2 (security), G3 (lineage), and G4 (DQ) using formal evidence packs from pilot domain.</w:t>
      </w:r>
    </w:p>
    <w:p>
      <w:pPr>
        <w:pStyle w:val="Heading2"/>
      </w:pPr>
      <w:r>
        <w:rPr>
          <w:b/>
          <w:color w:val="2E75B6"/>
          <w:sz w:val="24"/>
        </w:rPr>
        <w:t>Phase 2 — Controlled Parallel Run (Horizon 1, Months 6–9)</w:t>
      </w:r>
    </w:p>
    <w:p>
      <w:pPr>
        <w:pStyle w:val="ListBullet"/>
        <w:spacing w:before="20" w:after="20"/>
      </w:pPr>
      <w:r>
        <w:rPr>
          <w:color w:val="1A1A1A"/>
          <w:sz w:val="20"/>
        </w:rPr>
        <w:t>Run Purview-primary and IKC-primary governance in parallel for the pilot domain over one to two release cycles.</w:t>
      </w:r>
    </w:p>
    <w:p>
      <w:pPr>
        <w:pStyle w:val="ListBullet"/>
        <w:spacing w:before="20" w:after="20"/>
      </w:pPr>
      <w:r>
        <w:rPr>
          <w:color w:val="1A1A1A"/>
          <w:sz w:val="20"/>
        </w:rPr>
        <w:t>Compare glossary consistency, classification propagation latency, DQ outcomes, and lineage coverage between the two models.</w:t>
      </w:r>
    </w:p>
    <w:p>
      <w:pPr>
        <w:pStyle w:val="ListBullet"/>
        <w:spacing w:before="20" w:after="20"/>
      </w:pPr>
      <w:r>
        <w:rPr>
          <w:color w:val="1A1A1A"/>
          <w:sz w:val="20"/>
        </w:rPr>
        <w:t>Measure integration pipeline reliability: sync latency SLA, drift incident rate, reconciliation job success rate.</w:t>
      </w:r>
    </w:p>
    <w:p>
      <w:pPr>
        <w:pStyle w:val="ListBullet"/>
        <w:spacing w:before="20" w:after="20"/>
      </w:pPr>
      <w:r>
        <w:rPr>
          <w:color w:val="1A1A1A"/>
          <w:sz w:val="20"/>
        </w:rPr>
        <w:t>Complete gates G5 (integration feasibility) and G6 (economics) using evidence from parallel run.</w:t>
      </w:r>
    </w:p>
    <w:p>
      <w:pPr>
        <w:pStyle w:val="ListBullet"/>
        <w:spacing w:before="20" w:after="20"/>
      </w:pPr>
      <w:r>
        <w:rPr>
          <w:color w:val="1A1A1A"/>
          <w:sz w:val="20"/>
        </w:rPr>
        <w:t>If parallel run reveals material deficiencies, halt and reassess before extending scope.</w:t>
      </w:r>
    </w:p>
    <w:p>
      <w:pPr>
        <w:pStyle w:val="Heading2"/>
      </w:pPr>
      <w:r>
        <w:rPr>
          <w:b/>
          <w:color w:val="2E75B6"/>
          <w:sz w:val="24"/>
        </w:rPr>
        <w:t>Phase 3 — Cutover and Extension (Horizon 1–2)</w:t>
      </w:r>
    </w:p>
    <w:p>
      <w:pPr>
        <w:pStyle w:val="ListBullet"/>
        <w:spacing w:before="20" w:after="20"/>
      </w:pPr>
      <w:r>
        <w:rPr>
          <w:color w:val="1A1A1A"/>
          <w:sz w:val="20"/>
        </w:rPr>
        <w:t>Switch governance authority to IKC for the approved pilot domain. Retire Purview DQ Tier 1 and stewardship workflows for that domain.</w:t>
      </w:r>
    </w:p>
    <w:p>
      <w:pPr>
        <w:pStyle w:val="ListBullet"/>
        <w:spacing w:before="20" w:after="20"/>
      </w:pPr>
      <w:r>
        <w:rPr>
          <w:color w:val="1A1A1A"/>
          <w:sz w:val="20"/>
        </w:rPr>
        <w:t>Reposition Purview to M365 DLP auxiliary scope only. Establish hard governance contract on Purview scope boundary.</w:t>
      </w:r>
    </w:p>
    <w:p>
      <w:pPr>
        <w:pStyle w:val="ListBullet"/>
        <w:spacing w:before="20" w:after="20"/>
      </w:pPr>
      <w:r>
        <w:rPr>
          <w:color w:val="1A1A1A"/>
          <w:sz w:val="20"/>
        </w:rPr>
        <w:t>Extend IKC-primary domain-by-domain using the same gate-based evidence pattern.</w:t>
      </w:r>
    </w:p>
    <w:p>
      <w:pPr>
        <w:pStyle w:val="ListBullet"/>
        <w:spacing w:before="20" w:after="20"/>
      </w:pPr>
      <w:r>
        <w:rPr>
          <w:color w:val="1A1A1A"/>
          <w:sz w:val="20"/>
        </w:rPr>
        <w:t>Cancel IKC decommission scheduled in baseline Horizon 2. Update platform roadmap accordingly.</w:t>
      </w:r>
    </w:p>
    <w:p>
      <w:pPr>
        <w:pStyle w:val="ListBullet"/>
        <w:spacing w:before="20" w:after="20"/>
      </w:pPr>
      <w:r>
        <w:rPr>
          <w:color w:val="1A1A1A"/>
          <w:sz w:val="20"/>
        </w:rPr>
        <w:t>Baseline runbooks, KPI dashboards, and operational SLAs under IKC ownership before each domain extension.</w:t>
      </w:r>
    </w:p>
    <w:p>
      <w:pPr>
        <w:spacing w:before="0" w:after="160"/>
      </w:pPr>
    </w:p>
    <w:p>
      <w:pPr>
        <w:pStyle w:val="Heading1"/>
      </w:pPr>
      <w:r>
        <w:rPr>
          <w:b/>
          <w:color w:val="1F497D"/>
          <w:sz w:val="28"/>
        </w:rPr>
        <w:t>8. Conclusion and Recommendation</w:t>
      </w:r>
    </w:p>
    <w:p>
      <w:pPr>
        <w:spacing w:before="0" w:after="160"/>
        <w:jc w:val="left"/>
      </w:pPr>
      <w:r>
        <w:rPr>
          <w:b w:val="0"/>
          <w:i w:val="0"/>
        </w:rPr>
        <w:t>The IKC-primary alternative is architecturally viable. It preserves the most critical security property of the baseline — Unity Catalog as the mandatory runtime enforcement layer — while substituting governance authority at Tier 1. The principal risks are engineering risks (IKC-Unity Catalog sync pipeline reliability) and financial risks (IBM licensing retention), not fundamental architectural incompatibilities.</w:t>
      </w:r>
    </w:p>
    <w:p>
      <w:pPr>
        <w:spacing w:before="0" w:after="160"/>
        <w:jc w:val="left"/>
      </w:pPr>
      <w:r>
        <w:rPr>
          <w:b w:val="0"/>
          <w:i w:val="0"/>
        </w:rPr>
        <w:t>The case for IKC-primary is strongest on three grounds: IKC DQ depth exceeds Purview's current capability for complex business rules; IKC data product certification is more mature; and the avoided Horizon 1 migration effort is substantial. The case against it is strongest on: Azure-native integration friction, classification sync drift risk for regulated data, Fabric governance gap, and unresolved licensing cost.</w:t>
      </w:r>
    </w:p>
    <w:p>
      <w:pPr>
        <w:spacing w:before="0" w:after="120"/>
        <w:jc w:val="left"/>
      </w:pPr>
      <w:r>
        <w:rPr>
          <w:b w:val="0"/>
          <w:i w:val="0"/>
        </w:rPr>
        <w:t>Recommendation: Approve an IKC-primary pilot on a single priority domain (Customer 360) with strict gate-based progression through G1–G6. Do not commit to enterprise-wide adoption until all gates are passed with formal evidence packs. The following conditions must be satisfied before any domain is governed exclusively under IKC-primary:</w:t>
      </w:r>
    </w:p>
    <w:p>
      <w:pPr>
        <w:pStyle w:val="ListBullet"/>
        <w:spacing w:before="20" w:after="20"/>
      </w:pPr>
      <w:r>
        <w:rPr>
          <w:color w:val="1A1A1A"/>
          <w:sz w:val="20"/>
        </w:rPr>
        <w:t>The IKC-to-Unity Catalog sync pipeline must meet a defined maximum propagation latency SLA for Restricted-classified data, with automated drift alerting in production. (Gate G2)</w:t>
      </w:r>
    </w:p>
    <w:p>
      <w:pPr>
        <w:pStyle w:val="ListBullet"/>
        <w:spacing w:before="20" w:after="20"/>
      </w:pPr>
      <w:r>
        <w:rPr>
          <w:color w:val="1A1A1A"/>
          <w:sz w:val="20"/>
        </w:rPr>
        <w:t>End-to-end Manta-to-IKC lineage must be validated for the pilot domain before regulatory audit evidence packs are generated. (Gate G3)</w:t>
      </w:r>
    </w:p>
    <w:p>
      <w:pPr>
        <w:pStyle w:val="ListBullet"/>
        <w:spacing w:before="20" w:after="20"/>
      </w:pPr>
      <w:r>
        <w:rPr>
          <w:color w:val="1A1A1A"/>
          <w:sz w:val="20"/>
        </w:rPr>
        <w:t>A 3-year TCO comparison against the Purview-primary baseline must be reviewed and accepted by CDO and Finance. (Gate G6)</w:t>
      </w:r>
    </w:p>
    <w:p>
      <w:pPr>
        <w:pStyle w:val="ListBullet"/>
        <w:spacing w:before="20" w:after="20"/>
      </w:pPr>
      <w:r>
        <w:rPr>
          <w:color w:val="1A1A1A"/>
          <w:sz w:val="20"/>
        </w:rPr>
        <w:t>Purview scope must be formally contracted to M365 DLP integration only, with an Architecture Board approval requirement for any scope expansion. (AD-06 rewrite)</w:t>
      </w:r>
    </w:p>
    <w:p>
      <w:pPr>
        <w:spacing w:before="0" w:after="160"/>
      </w:pPr>
    </w:p>
    <w:p>
      <w:pPr>
        <w:spacing w:before="0" w:after="160"/>
        <w:jc w:val="left"/>
      </w:pPr>
      <w:r>
        <w:rPr>
          <w:b w:val="0"/>
          <w:i/>
          <w:color w:val="444444"/>
        </w:rPr>
        <w:t>This document intentionally does not modify any existing baseline architecture documents. It is a decision-support artifact for Architecture Board governance. If the Board approves the IKC-primary direction at G1, baseline documents (AD-05, AD-06, AD-08 in the v8.0 reference architecture) will be updated in the subsequent revision.</w:t>
      </w:r>
    </w:p>
    <w:p>
      <w:pPr>
        <w:pBdr>
          <w:bottom w:val="single" w:sz="6" w:space="1" w:color="1F497D"/>
        </w:pBdr>
        <w:spacing w:before="0" w:after="120"/>
      </w:pPr>
    </w:p>
    <w:sectPr w:rsidR="00FC693F" w:rsidRPr="0006063C" w:rsidSect="00034616">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888888"/>
        <w:sz w:val="16"/>
      </w:rPr>
      <w:t xml:space="preserve">Page </w:t>
    </w:r>
    <w:r>
      <w:rPr>
        <w:color w:val="888888"/>
        <w:sz w:val="16"/>
      </w:rPr>
      <w:fldChar w:fldCharType="begin"/>
      <w:instrText>PAGE</w:instrText>
      <w:fldChar w:fldCharType="end"/>
    </w:r>
    <w:r>
      <w:rPr>
        <w:color w:val="888888"/>
        <w:sz w:val="16"/>
      </w:rPr>
      <w:t xml:space="preserve">  |  March 2026  |  Internal – Confidential</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i/>
        <w:color w:val="888888"/>
        <w:sz w:val="16"/>
      </w:rPr>
      <w:t>Greenfield – Modern Data Platform | IKC-Primary Alternative v3    CONFIDENTIAL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1A1A1A"/>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80"/>
      <w:outlineLvl w:val="0"/>
    </w:pPr>
    <w:rPr>
      <w:rFonts w:asciiTheme="majorHAnsi" w:eastAsiaTheme="majorEastAsia" w:hAnsiTheme="majorHAnsi" w:cstheme="majorBidi" w:ascii="Calibri" w:hAnsi="Calibr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80" w:after="80"/>
      <w:outlineLvl w:val="1"/>
    </w:pPr>
    <w:rPr>
      <w:rFonts w:asciiTheme="majorHAnsi" w:eastAsiaTheme="majorEastAsia" w:hAnsiTheme="majorHAnsi" w:cstheme="majorBidi" w:ascii="Calibri" w:hAnsi="Calibri"/>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80"/>
      <w:outlineLvl w:val="2"/>
    </w:pPr>
    <w:rPr>
      <w:rFonts w:asciiTheme="majorHAnsi" w:eastAsiaTheme="majorEastAsia" w:hAnsiTheme="majorHAnsi" w:cstheme="majorBidi" w:ascii="Calibri" w:hAnsi="Calibri"/>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Calibri" w:hAnsi="Calibri"/>
      <w:sz w:val="20"/>
    </w:rPr>
  </w:style>
  <w:style w:type="paragraph" w:styleId="ListBullet2">
    <w:name w:val="List Bullet 2"/>
    <w:basedOn w:val="Normal"/>
    <w:uiPriority w:val="99"/>
    <w:unhideWhenUsed/>
    <w:rsid w:val="00326F90"/>
    <w:pPr>
      <w:numPr>
        <w:numId w:val="2"/>
      </w:numPr>
      <w:contextualSpacing/>
    </w:pPr>
    <w:rPr>
      <w:rFonts w:ascii="Calibri" w:hAnsi="Calibri"/>
      <w:sz w:val="20"/>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